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1DB574" w14:textId="77777777" w:rsidR="00254FD8" w:rsidRPr="000F4883" w:rsidRDefault="00254FD8" w:rsidP="00BE624D">
      <w:pPr>
        <w:jc w:val="center"/>
        <w:rPr>
          <w:rFonts w:ascii="Arial" w:hAnsi="Arial" w:cs="Arial"/>
          <w:b/>
          <w:szCs w:val="24"/>
        </w:rPr>
      </w:pPr>
    </w:p>
    <w:p w14:paraId="35C708BF" w14:textId="508872E6" w:rsidR="00DF02C6" w:rsidRPr="000F4883" w:rsidRDefault="00E52F13" w:rsidP="00BE624D">
      <w:pPr>
        <w:jc w:val="center"/>
        <w:rPr>
          <w:rFonts w:ascii="Arial" w:hAnsi="Arial" w:cs="Arial"/>
          <w:b/>
          <w:szCs w:val="24"/>
        </w:rPr>
      </w:pPr>
      <w:r>
        <w:rPr>
          <w:rFonts w:ascii="Arial" w:hAnsi="Arial" w:cs="Arial"/>
          <w:b/>
          <w:szCs w:val="24"/>
        </w:rPr>
        <w:t>PROYECTO DE LEY No</w:t>
      </w:r>
      <w:r w:rsidR="006A3BC4">
        <w:rPr>
          <w:rFonts w:ascii="Arial" w:hAnsi="Arial" w:cs="Arial"/>
          <w:b/>
          <w:szCs w:val="24"/>
        </w:rPr>
        <w:t xml:space="preserve">. </w:t>
      </w:r>
      <w:r>
        <w:rPr>
          <w:rFonts w:ascii="Arial" w:hAnsi="Arial" w:cs="Arial"/>
          <w:b/>
          <w:szCs w:val="24"/>
        </w:rPr>
        <w:t>______ DE 2019</w:t>
      </w:r>
      <w:r w:rsidR="00BE624D" w:rsidRPr="000F4883">
        <w:rPr>
          <w:rFonts w:ascii="Arial" w:hAnsi="Arial" w:cs="Arial"/>
          <w:b/>
          <w:szCs w:val="24"/>
        </w:rPr>
        <w:t xml:space="preserve"> CÁMARA</w:t>
      </w:r>
    </w:p>
    <w:p w14:paraId="2FA7468D" w14:textId="77777777" w:rsidR="00804E11" w:rsidRPr="000F4883" w:rsidRDefault="00804E11" w:rsidP="00BE624D">
      <w:pPr>
        <w:jc w:val="center"/>
        <w:rPr>
          <w:rFonts w:ascii="Arial" w:hAnsi="Arial" w:cs="Arial"/>
          <w:b/>
          <w:i/>
          <w:szCs w:val="24"/>
        </w:rPr>
      </w:pPr>
      <w:r w:rsidRPr="000F4883">
        <w:rPr>
          <w:rFonts w:ascii="Arial" w:hAnsi="Arial" w:cs="Arial"/>
          <w:b/>
          <w:szCs w:val="24"/>
        </w:rPr>
        <w:t>“</w:t>
      </w:r>
      <w:r w:rsidRPr="000F4883">
        <w:rPr>
          <w:rFonts w:ascii="Arial" w:hAnsi="Arial" w:cs="Arial"/>
          <w:b/>
          <w:i/>
          <w:szCs w:val="24"/>
        </w:rPr>
        <w:t>Por medio de la cual se modifica la ley 65 de 1993 - Código Penitenciario y Carcelario y se dictan otr</w:t>
      </w:r>
      <w:bookmarkStart w:id="0" w:name="_GoBack"/>
      <w:bookmarkEnd w:id="0"/>
      <w:r w:rsidRPr="000F4883">
        <w:rPr>
          <w:rFonts w:ascii="Arial" w:hAnsi="Arial" w:cs="Arial"/>
          <w:b/>
          <w:i/>
          <w:szCs w:val="24"/>
        </w:rPr>
        <w:t>as disposiciones”</w:t>
      </w:r>
    </w:p>
    <w:p w14:paraId="3F4A6DC8" w14:textId="77777777" w:rsidR="00254FD8" w:rsidRPr="000F4883" w:rsidRDefault="00254FD8" w:rsidP="00BE624D">
      <w:pPr>
        <w:jc w:val="center"/>
        <w:rPr>
          <w:rFonts w:ascii="Arial" w:hAnsi="Arial" w:cs="Arial"/>
          <w:b/>
          <w:szCs w:val="24"/>
        </w:rPr>
      </w:pPr>
    </w:p>
    <w:p w14:paraId="25627457" w14:textId="77777777" w:rsidR="00BE624D" w:rsidRPr="000F4883" w:rsidRDefault="00BE624D" w:rsidP="00BE624D">
      <w:pPr>
        <w:jc w:val="center"/>
        <w:rPr>
          <w:rFonts w:ascii="Arial" w:hAnsi="Arial" w:cs="Arial"/>
          <w:b/>
          <w:szCs w:val="24"/>
        </w:rPr>
      </w:pPr>
      <w:r w:rsidRPr="000F4883">
        <w:rPr>
          <w:rFonts w:ascii="Arial" w:hAnsi="Arial" w:cs="Arial"/>
          <w:b/>
          <w:szCs w:val="24"/>
        </w:rPr>
        <w:t xml:space="preserve">EL CONGRESO DE COLOMBIA </w:t>
      </w:r>
    </w:p>
    <w:p w14:paraId="4D15E98C" w14:textId="77777777" w:rsidR="00BE624D" w:rsidRPr="000F4883" w:rsidRDefault="00BE624D" w:rsidP="00BE624D">
      <w:pPr>
        <w:jc w:val="center"/>
        <w:rPr>
          <w:rFonts w:ascii="Arial" w:hAnsi="Arial" w:cs="Arial"/>
          <w:b/>
          <w:szCs w:val="24"/>
        </w:rPr>
      </w:pPr>
      <w:r w:rsidRPr="000F4883">
        <w:rPr>
          <w:rFonts w:ascii="Arial" w:hAnsi="Arial" w:cs="Arial"/>
          <w:b/>
          <w:szCs w:val="24"/>
        </w:rPr>
        <w:t>DECRETA:</w:t>
      </w:r>
    </w:p>
    <w:p w14:paraId="5CAD85AF" w14:textId="77777777" w:rsidR="00254FD8" w:rsidRPr="00C407F4" w:rsidRDefault="00254FD8" w:rsidP="00BE624D">
      <w:pPr>
        <w:jc w:val="center"/>
        <w:rPr>
          <w:rFonts w:ascii="Arial" w:hAnsi="Arial" w:cs="Arial"/>
          <w:b/>
          <w:sz w:val="24"/>
          <w:szCs w:val="24"/>
        </w:rPr>
      </w:pPr>
    </w:p>
    <w:p w14:paraId="07EE8503" w14:textId="77777777" w:rsidR="00BE624D" w:rsidRPr="00C407F4" w:rsidRDefault="00BE624D">
      <w:pPr>
        <w:rPr>
          <w:rFonts w:ascii="Arial" w:hAnsi="Arial" w:cs="Arial"/>
          <w:sz w:val="24"/>
          <w:szCs w:val="24"/>
        </w:rPr>
      </w:pPr>
      <w:r w:rsidRPr="00C407F4">
        <w:rPr>
          <w:rFonts w:ascii="Arial" w:hAnsi="Arial" w:cs="Arial"/>
          <w:b/>
          <w:sz w:val="24"/>
          <w:szCs w:val="24"/>
        </w:rPr>
        <w:t xml:space="preserve">ARTÍCULO PRIMERO: </w:t>
      </w:r>
      <w:r w:rsidR="00804E11" w:rsidRPr="00C407F4">
        <w:rPr>
          <w:rFonts w:ascii="Arial" w:hAnsi="Arial" w:cs="Arial"/>
          <w:sz w:val="24"/>
          <w:szCs w:val="24"/>
        </w:rPr>
        <w:t>Modifíquese el artículo 103</w:t>
      </w:r>
      <w:r w:rsidR="00C407F4">
        <w:rPr>
          <w:rFonts w:ascii="Arial" w:hAnsi="Arial" w:cs="Arial"/>
          <w:sz w:val="24"/>
          <w:szCs w:val="24"/>
        </w:rPr>
        <w:t>A</w:t>
      </w:r>
      <w:r w:rsidR="00804E11" w:rsidRPr="00C407F4">
        <w:rPr>
          <w:rFonts w:ascii="Arial" w:hAnsi="Arial" w:cs="Arial"/>
          <w:sz w:val="24"/>
          <w:szCs w:val="24"/>
        </w:rPr>
        <w:t xml:space="preserve"> de la ley 65 de 1993 “</w:t>
      </w:r>
      <w:r w:rsidR="00804E11" w:rsidRPr="00C407F4">
        <w:rPr>
          <w:rFonts w:ascii="Arial" w:hAnsi="Arial" w:cs="Arial"/>
          <w:i/>
          <w:sz w:val="24"/>
          <w:szCs w:val="24"/>
        </w:rPr>
        <w:t>Por la cual se expide el Código Penitenciario y Carcelario</w:t>
      </w:r>
      <w:r w:rsidR="00804E11" w:rsidRPr="00C407F4">
        <w:rPr>
          <w:rFonts w:ascii="Arial" w:hAnsi="Arial" w:cs="Arial"/>
          <w:sz w:val="24"/>
          <w:szCs w:val="24"/>
        </w:rPr>
        <w:t>” el cual quedará así:</w:t>
      </w:r>
    </w:p>
    <w:p w14:paraId="64716FEC" w14:textId="77777777" w:rsidR="00804E11" w:rsidRPr="00C407F4" w:rsidRDefault="00804E11">
      <w:pPr>
        <w:rPr>
          <w:rFonts w:ascii="Arial" w:hAnsi="Arial" w:cs="Arial"/>
          <w:sz w:val="24"/>
          <w:szCs w:val="24"/>
        </w:rPr>
      </w:pPr>
    </w:p>
    <w:p w14:paraId="6EDF9489" w14:textId="77777777" w:rsidR="00804E11" w:rsidRPr="00C407F4" w:rsidRDefault="00804E11" w:rsidP="00804E11">
      <w:pPr>
        <w:ind w:left="708"/>
        <w:jc w:val="both"/>
        <w:rPr>
          <w:rFonts w:ascii="Arial" w:hAnsi="Arial" w:cs="Arial"/>
          <w:sz w:val="24"/>
          <w:szCs w:val="24"/>
        </w:rPr>
      </w:pPr>
      <w:r w:rsidRPr="00C407F4">
        <w:rPr>
          <w:rFonts w:ascii="Arial" w:hAnsi="Arial" w:cs="Arial"/>
          <w:sz w:val="24"/>
          <w:szCs w:val="24"/>
        </w:rPr>
        <w:t>“</w:t>
      </w:r>
      <w:r w:rsidRPr="00C407F4">
        <w:rPr>
          <w:rFonts w:ascii="Arial" w:hAnsi="Arial" w:cs="Arial"/>
          <w:b/>
          <w:sz w:val="24"/>
          <w:szCs w:val="24"/>
        </w:rPr>
        <w:t>ARTÍCULO 103A. DERECHO A LA REDENCIÓN</w:t>
      </w:r>
      <w:r w:rsidRPr="00C407F4">
        <w:rPr>
          <w:rFonts w:ascii="Arial" w:hAnsi="Arial" w:cs="Arial"/>
          <w:sz w:val="24"/>
          <w:szCs w:val="24"/>
        </w:rPr>
        <w:t>. La redención de pena es un derecho que será exigible una vez la persona privada de la libertad cumpla los requisitos exigidos para acceder a ella. Todas las decisiones que afecten la redención de la pena, podrán controvertirse ante los Jueces competentes.</w:t>
      </w:r>
    </w:p>
    <w:p w14:paraId="125249E1" w14:textId="77777777" w:rsidR="000F4883" w:rsidRDefault="00254FD8" w:rsidP="000F4883">
      <w:pPr>
        <w:ind w:left="708"/>
        <w:jc w:val="both"/>
        <w:rPr>
          <w:rFonts w:ascii="Arial" w:hAnsi="Arial" w:cs="Arial"/>
          <w:sz w:val="24"/>
          <w:szCs w:val="24"/>
          <w:u w:val="single"/>
        </w:rPr>
      </w:pPr>
      <w:r w:rsidRPr="00C407F4">
        <w:rPr>
          <w:rFonts w:ascii="Arial" w:hAnsi="Arial" w:cs="Arial"/>
          <w:sz w:val="24"/>
          <w:szCs w:val="24"/>
          <w:u w:val="single"/>
        </w:rPr>
        <w:t xml:space="preserve">Cuando se tratare de la redención de </w:t>
      </w:r>
      <w:r w:rsidR="00C407F4" w:rsidRPr="00C407F4">
        <w:rPr>
          <w:rFonts w:ascii="Arial" w:hAnsi="Arial" w:cs="Arial"/>
          <w:sz w:val="24"/>
          <w:szCs w:val="24"/>
          <w:u w:val="single"/>
        </w:rPr>
        <w:t>pena</w:t>
      </w:r>
      <w:r w:rsidR="005C4C93">
        <w:rPr>
          <w:rFonts w:ascii="Arial" w:hAnsi="Arial" w:cs="Arial"/>
          <w:sz w:val="24"/>
          <w:szCs w:val="24"/>
          <w:u w:val="single"/>
        </w:rPr>
        <w:t>s</w:t>
      </w:r>
      <w:r w:rsidR="00C407F4" w:rsidRPr="00C407F4">
        <w:rPr>
          <w:rFonts w:ascii="Arial" w:hAnsi="Arial" w:cs="Arial"/>
          <w:sz w:val="24"/>
          <w:szCs w:val="24"/>
          <w:u w:val="single"/>
        </w:rPr>
        <w:t xml:space="preserve"> de la</w:t>
      </w:r>
      <w:r w:rsidR="005C4C93">
        <w:rPr>
          <w:rFonts w:ascii="Arial" w:hAnsi="Arial" w:cs="Arial"/>
          <w:sz w:val="24"/>
          <w:szCs w:val="24"/>
          <w:u w:val="single"/>
        </w:rPr>
        <w:t>s</w:t>
      </w:r>
      <w:r w:rsidR="00C407F4" w:rsidRPr="00C407F4">
        <w:rPr>
          <w:rFonts w:ascii="Arial" w:hAnsi="Arial" w:cs="Arial"/>
          <w:sz w:val="24"/>
          <w:szCs w:val="24"/>
          <w:u w:val="single"/>
        </w:rPr>
        <w:t xml:space="preserve"> </w:t>
      </w:r>
      <w:r w:rsidRPr="00C407F4">
        <w:rPr>
          <w:rFonts w:ascii="Arial" w:hAnsi="Arial" w:cs="Arial"/>
          <w:sz w:val="24"/>
          <w:szCs w:val="24"/>
          <w:u w:val="single"/>
        </w:rPr>
        <w:t xml:space="preserve">que hablan los artículos </w:t>
      </w:r>
      <w:r w:rsidR="00C407F4" w:rsidRPr="00C407F4">
        <w:rPr>
          <w:rFonts w:ascii="Arial" w:hAnsi="Arial" w:cs="Arial"/>
          <w:sz w:val="24"/>
          <w:szCs w:val="24"/>
          <w:u w:val="single"/>
        </w:rPr>
        <w:t>82, 97 y 99</w:t>
      </w:r>
      <w:r w:rsidRPr="00C407F4">
        <w:rPr>
          <w:rFonts w:ascii="Arial" w:hAnsi="Arial" w:cs="Arial"/>
          <w:sz w:val="24"/>
          <w:szCs w:val="24"/>
          <w:u w:val="single"/>
        </w:rPr>
        <w:t xml:space="preserve"> de </w:t>
      </w:r>
      <w:r w:rsidR="00C407F4" w:rsidRPr="00C407F4">
        <w:rPr>
          <w:rFonts w:ascii="Arial" w:hAnsi="Arial" w:cs="Arial"/>
          <w:sz w:val="24"/>
          <w:szCs w:val="24"/>
          <w:u w:val="single"/>
        </w:rPr>
        <w:t xml:space="preserve">la presente ley y cuando la persona haya sido condenada por </w:t>
      </w:r>
      <w:r w:rsidR="00C407F4">
        <w:rPr>
          <w:rFonts w:ascii="Arial" w:hAnsi="Arial" w:cs="Arial"/>
          <w:sz w:val="24"/>
          <w:szCs w:val="24"/>
          <w:u w:val="single"/>
        </w:rPr>
        <w:t xml:space="preserve">delitos contra la libertad, integridad </w:t>
      </w:r>
      <w:r w:rsidRPr="00C407F4">
        <w:rPr>
          <w:rFonts w:ascii="Arial" w:hAnsi="Arial" w:cs="Arial"/>
          <w:sz w:val="24"/>
          <w:szCs w:val="24"/>
          <w:u w:val="single"/>
        </w:rPr>
        <w:t>y formación sexuales</w:t>
      </w:r>
      <w:r w:rsidR="00C407F4" w:rsidRPr="00C407F4">
        <w:rPr>
          <w:rFonts w:ascii="Arial" w:hAnsi="Arial" w:cs="Arial"/>
          <w:sz w:val="24"/>
          <w:szCs w:val="24"/>
          <w:u w:val="single"/>
        </w:rPr>
        <w:t xml:space="preserve">, homicidio, tortura y secuestro cometidos contra menores de 14 años o contra menores </w:t>
      </w:r>
      <w:r w:rsidR="000F4883">
        <w:rPr>
          <w:rFonts w:ascii="Arial" w:hAnsi="Arial" w:cs="Arial"/>
          <w:sz w:val="24"/>
          <w:szCs w:val="24"/>
          <w:u w:val="single"/>
        </w:rPr>
        <w:t>de 18 años con discapacidad física y/o mental s</w:t>
      </w:r>
      <w:r w:rsidR="000F4883" w:rsidRPr="000F4883">
        <w:rPr>
          <w:rFonts w:ascii="Arial" w:hAnsi="Arial" w:cs="Arial"/>
          <w:sz w:val="24"/>
          <w:szCs w:val="24"/>
          <w:u w:val="single"/>
        </w:rPr>
        <w:t>e les abonará un</w:t>
      </w:r>
      <w:r w:rsidR="000F4883">
        <w:rPr>
          <w:rFonts w:ascii="Arial" w:hAnsi="Arial" w:cs="Arial"/>
          <w:sz w:val="24"/>
          <w:szCs w:val="24"/>
          <w:u w:val="single"/>
        </w:rPr>
        <w:t xml:space="preserve"> (1)</w:t>
      </w:r>
      <w:r w:rsidR="000F4883" w:rsidRPr="000F4883">
        <w:rPr>
          <w:rFonts w:ascii="Arial" w:hAnsi="Arial" w:cs="Arial"/>
          <w:sz w:val="24"/>
          <w:szCs w:val="24"/>
          <w:u w:val="single"/>
        </w:rPr>
        <w:t xml:space="preserve"> día de reclusión por </w:t>
      </w:r>
      <w:r w:rsidR="000F4883">
        <w:rPr>
          <w:rFonts w:ascii="Arial" w:hAnsi="Arial" w:cs="Arial"/>
          <w:sz w:val="24"/>
          <w:szCs w:val="24"/>
          <w:u w:val="single"/>
        </w:rPr>
        <w:t xml:space="preserve">cuatro (4) días de estudio, trabajo o </w:t>
      </w:r>
      <w:r w:rsidR="000F4883" w:rsidRPr="000F4883">
        <w:rPr>
          <w:rFonts w:ascii="Arial" w:hAnsi="Arial" w:cs="Arial"/>
          <w:sz w:val="24"/>
          <w:szCs w:val="24"/>
          <w:u w:val="single"/>
        </w:rPr>
        <w:t>actividades literarias, deportivas, artísticas y en comités de internos</w:t>
      </w:r>
      <w:r w:rsidR="000F4883">
        <w:rPr>
          <w:rFonts w:ascii="Arial" w:hAnsi="Arial" w:cs="Arial"/>
          <w:sz w:val="24"/>
          <w:szCs w:val="24"/>
          <w:u w:val="single"/>
        </w:rPr>
        <w:t>.</w:t>
      </w:r>
    </w:p>
    <w:p w14:paraId="79E8E4D2" w14:textId="77777777" w:rsidR="000F4883" w:rsidRDefault="005C4C93" w:rsidP="005C4C93">
      <w:pPr>
        <w:ind w:left="708"/>
        <w:jc w:val="both"/>
        <w:rPr>
          <w:rFonts w:ascii="Arial" w:hAnsi="Arial" w:cs="Arial"/>
          <w:sz w:val="24"/>
          <w:szCs w:val="24"/>
          <w:u w:val="single"/>
        </w:rPr>
      </w:pPr>
      <w:r>
        <w:rPr>
          <w:rFonts w:ascii="Arial" w:hAnsi="Arial" w:cs="Arial"/>
          <w:sz w:val="24"/>
          <w:szCs w:val="24"/>
          <w:u w:val="single"/>
        </w:rPr>
        <w:t>En concordancia con lo anterior, en cuanto</w:t>
      </w:r>
      <w:r w:rsidR="000F4883">
        <w:rPr>
          <w:rFonts w:ascii="Arial" w:hAnsi="Arial" w:cs="Arial"/>
          <w:sz w:val="24"/>
          <w:szCs w:val="24"/>
          <w:u w:val="single"/>
        </w:rPr>
        <w:t xml:space="preserve"> </w:t>
      </w:r>
      <w:r>
        <w:rPr>
          <w:rFonts w:ascii="Arial" w:hAnsi="Arial" w:cs="Arial"/>
          <w:sz w:val="24"/>
          <w:szCs w:val="24"/>
          <w:u w:val="single"/>
        </w:rPr>
        <w:t xml:space="preserve">a la redención de la pena por enseñanza de la </w:t>
      </w:r>
      <w:r w:rsidR="000F4883">
        <w:rPr>
          <w:rFonts w:ascii="Arial" w:hAnsi="Arial" w:cs="Arial"/>
          <w:sz w:val="24"/>
          <w:szCs w:val="24"/>
          <w:u w:val="single"/>
        </w:rPr>
        <w:t xml:space="preserve">que habla el artículo </w:t>
      </w:r>
      <w:r>
        <w:rPr>
          <w:rFonts w:ascii="Arial" w:hAnsi="Arial" w:cs="Arial"/>
          <w:sz w:val="24"/>
          <w:szCs w:val="24"/>
          <w:u w:val="single"/>
        </w:rPr>
        <w:t xml:space="preserve">98 de la presente ley, por </w:t>
      </w:r>
      <w:r w:rsidRPr="005C4C93">
        <w:rPr>
          <w:rFonts w:ascii="Arial" w:hAnsi="Arial" w:cs="Arial"/>
          <w:sz w:val="24"/>
          <w:szCs w:val="24"/>
          <w:u w:val="single"/>
        </w:rPr>
        <w:t xml:space="preserve">cada </w:t>
      </w:r>
      <w:r>
        <w:rPr>
          <w:rFonts w:ascii="Arial" w:hAnsi="Arial" w:cs="Arial"/>
          <w:sz w:val="24"/>
          <w:szCs w:val="24"/>
          <w:u w:val="single"/>
        </w:rPr>
        <w:t>ocho (8)</w:t>
      </w:r>
      <w:r w:rsidRPr="005C4C93">
        <w:rPr>
          <w:rFonts w:ascii="Arial" w:hAnsi="Arial" w:cs="Arial"/>
          <w:sz w:val="24"/>
          <w:szCs w:val="24"/>
          <w:u w:val="single"/>
        </w:rPr>
        <w:t xml:space="preserve"> h</w:t>
      </w:r>
      <w:r>
        <w:rPr>
          <w:rFonts w:ascii="Arial" w:hAnsi="Arial" w:cs="Arial"/>
          <w:sz w:val="24"/>
          <w:szCs w:val="24"/>
          <w:u w:val="single"/>
        </w:rPr>
        <w:t>oras de enseñanza se le computará</w:t>
      </w:r>
      <w:r w:rsidRPr="005C4C93">
        <w:rPr>
          <w:rFonts w:ascii="Arial" w:hAnsi="Arial" w:cs="Arial"/>
          <w:sz w:val="24"/>
          <w:szCs w:val="24"/>
          <w:u w:val="single"/>
        </w:rPr>
        <w:t xml:space="preserve"> como un día de estudio</w:t>
      </w:r>
      <w:r w:rsidR="000F4883">
        <w:rPr>
          <w:rFonts w:ascii="Arial" w:hAnsi="Arial" w:cs="Arial"/>
          <w:sz w:val="24"/>
          <w:szCs w:val="24"/>
          <w:u w:val="single"/>
        </w:rPr>
        <w:t>”</w:t>
      </w:r>
    </w:p>
    <w:p w14:paraId="769F534F" w14:textId="77777777" w:rsidR="000F4883" w:rsidRDefault="000F4883" w:rsidP="000F4883">
      <w:pPr>
        <w:jc w:val="both"/>
        <w:rPr>
          <w:rFonts w:ascii="Arial" w:hAnsi="Arial" w:cs="Arial"/>
          <w:b/>
          <w:sz w:val="24"/>
          <w:szCs w:val="24"/>
        </w:rPr>
      </w:pPr>
    </w:p>
    <w:p w14:paraId="594BE3D3" w14:textId="77777777" w:rsidR="000F4883" w:rsidRDefault="000F4883" w:rsidP="000F4883">
      <w:pPr>
        <w:jc w:val="both"/>
        <w:rPr>
          <w:rFonts w:ascii="Arial" w:hAnsi="Arial" w:cs="Arial"/>
          <w:sz w:val="24"/>
          <w:szCs w:val="24"/>
        </w:rPr>
      </w:pPr>
      <w:r w:rsidRPr="000F4883">
        <w:rPr>
          <w:rFonts w:ascii="Arial" w:hAnsi="Arial" w:cs="Arial"/>
          <w:b/>
          <w:sz w:val="24"/>
          <w:szCs w:val="24"/>
        </w:rPr>
        <w:t>ARTÍCULO SEGUNDO</w:t>
      </w:r>
      <w:r w:rsidRPr="000F4883">
        <w:rPr>
          <w:rFonts w:ascii="Arial" w:hAnsi="Arial" w:cs="Arial"/>
          <w:sz w:val="24"/>
          <w:szCs w:val="24"/>
        </w:rPr>
        <w:t>:</w:t>
      </w:r>
      <w:r>
        <w:rPr>
          <w:rFonts w:ascii="Arial" w:hAnsi="Arial" w:cs="Arial"/>
          <w:sz w:val="24"/>
          <w:szCs w:val="24"/>
        </w:rPr>
        <w:t xml:space="preserve"> La present</w:t>
      </w:r>
      <w:r w:rsidR="000F6728">
        <w:rPr>
          <w:rFonts w:ascii="Arial" w:hAnsi="Arial" w:cs="Arial"/>
          <w:sz w:val="24"/>
          <w:szCs w:val="24"/>
        </w:rPr>
        <w:t>e</w:t>
      </w:r>
      <w:r>
        <w:rPr>
          <w:rFonts w:ascii="Arial" w:hAnsi="Arial" w:cs="Arial"/>
          <w:sz w:val="24"/>
          <w:szCs w:val="24"/>
        </w:rPr>
        <w:t xml:space="preserve"> ley rige a partir de la fecha de su publicación y deroga todas las normas que le sean contrarias.</w:t>
      </w:r>
    </w:p>
    <w:p w14:paraId="4F7005AB" w14:textId="77777777" w:rsidR="000F4883" w:rsidRDefault="000F4883" w:rsidP="000F4883">
      <w:pPr>
        <w:jc w:val="both"/>
        <w:rPr>
          <w:rFonts w:ascii="Arial" w:hAnsi="Arial" w:cs="Arial"/>
          <w:sz w:val="24"/>
          <w:szCs w:val="24"/>
        </w:rPr>
      </w:pPr>
    </w:p>
    <w:p w14:paraId="1796602B" w14:textId="77777777" w:rsidR="000F4883" w:rsidRDefault="000F4883" w:rsidP="000F4883">
      <w:pPr>
        <w:jc w:val="both"/>
        <w:rPr>
          <w:rFonts w:ascii="Arial" w:hAnsi="Arial" w:cs="Arial"/>
          <w:sz w:val="24"/>
          <w:szCs w:val="24"/>
        </w:rPr>
      </w:pPr>
      <w:r>
        <w:rPr>
          <w:rFonts w:ascii="Arial" w:hAnsi="Arial" w:cs="Arial"/>
          <w:sz w:val="24"/>
          <w:szCs w:val="24"/>
        </w:rPr>
        <w:t>Atentamente,</w:t>
      </w:r>
    </w:p>
    <w:p w14:paraId="7EF40C70" w14:textId="77777777" w:rsidR="000F4883" w:rsidRDefault="000F4883" w:rsidP="000F4883">
      <w:pPr>
        <w:jc w:val="both"/>
        <w:rPr>
          <w:rFonts w:ascii="Arial" w:hAnsi="Arial" w:cs="Arial"/>
          <w:sz w:val="24"/>
          <w:szCs w:val="24"/>
        </w:rPr>
      </w:pPr>
    </w:p>
    <w:p w14:paraId="738E1514" w14:textId="77777777" w:rsidR="000F4883" w:rsidRPr="000F4883" w:rsidRDefault="000F4883" w:rsidP="000F4883">
      <w:pPr>
        <w:jc w:val="both"/>
        <w:rPr>
          <w:rFonts w:ascii="Arial" w:hAnsi="Arial" w:cs="Arial"/>
          <w:sz w:val="24"/>
          <w:szCs w:val="24"/>
        </w:rPr>
      </w:pPr>
    </w:p>
    <w:p w14:paraId="2CCB8BCA" w14:textId="77777777" w:rsidR="000F4883" w:rsidRDefault="002206E9" w:rsidP="002206E9">
      <w:pPr>
        <w:spacing w:after="0" w:line="240" w:lineRule="auto"/>
        <w:jc w:val="both"/>
        <w:rPr>
          <w:rFonts w:ascii="Arial" w:hAnsi="Arial" w:cs="Arial"/>
          <w:b/>
          <w:sz w:val="24"/>
          <w:szCs w:val="24"/>
        </w:rPr>
      </w:pPr>
      <w:r>
        <w:rPr>
          <w:rFonts w:ascii="Arial" w:hAnsi="Arial" w:cs="Arial"/>
          <w:b/>
          <w:sz w:val="24"/>
          <w:szCs w:val="24"/>
        </w:rPr>
        <w:t>KARINA ROJANO PALACIO</w:t>
      </w:r>
    </w:p>
    <w:p w14:paraId="17BE910A" w14:textId="77777777" w:rsidR="002206E9" w:rsidRDefault="002206E9" w:rsidP="002206E9">
      <w:pPr>
        <w:spacing w:after="0" w:line="240" w:lineRule="auto"/>
        <w:jc w:val="both"/>
        <w:rPr>
          <w:rFonts w:ascii="Arial" w:hAnsi="Arial" w:cs="Arial"/>
          <w:b/>
          <w:sz w:val="24"/>
          <w:szCs w:val="24"/>
        </w:rPr>
      </w:pPr>
      <w:r>
        <w:rPr>
          <w:rFonts w:ascii="Arial" w:hAnsi="Arial" w:cs="Arial"/>
          <w:b/>
          <w:sz w:val="24"/>
          <w:szCs w:val="24"/>
        </w:rPr>
        <w:t>Representante a la Cámara</w:t>
      </w:r>
    </w:p>
    <w:p w14:paraId="04CED925" w14:textId="77777777" w:rsidR="002206E9" w:rsidRDefault="002206E9" w:rsidP="00D92DBE">
      <w:pPr>
        <w:spacing w:line="360" w:lineRule="auto"/>
        <w:jc w:val="center"/>
        <w:rPr>
          <w:rFonts w:ascii="Arial" w:hAnsi="Arial" w:cs="Arial"/>
          <w:b/>
          <w:sz w:val="24"/>
          <w:szCs w:val="24"/>
        </w:rPr>
      </w:pPr>
      <w:r>
        <w:rPr>
          <w:rFonts w:ascii="Arial" w:hAnsi="Arial" w:cs="Arial"/>
          <w:b/>
          <w:sz w:val="24"/>
          <w:szCs w:val="24"/>
        </w:rPr>
        <w:lastRenderedPageBreak/>
        <w:t>EXPOSICIÓN DE MOTIVOS</w:t>
      </w:r>
    </w:p>
    <w:p w14:paraId="0E6D0FE0" w14:textId="77777777" w:rsidR="000E2BEB" w:rsidRDefault="000E2BEB" w:rsidP="00D92DBE">
      <w:pPr>
        <w:pStyle w:val="Prrafodelista"/>
        <w:numPr>
          <w:ilvl w:val="0"/>
          <w:numId w:val="1"/>
        </w:numPr>
        <w:spacing w:line="360" w:lineRule="auto"/>
        <w:jc w:val="both"/>
        <w:rPr>
          <w:rFonts w:ascii="Arial" w:hAnsi="Arial" w:cs="Arial"/>
          <w:b/>
          <w:sz w:val="24"/>
          <w:szCs w:val="24"/>
        </w:rPr>
      </w:pPr>
      <w:r>
        <w:rPr>
          <w:rFonts w:ascii="Arial" w:hAnsi="Arial" w:cs="Arial"/>
          <w:b/>
          <w:sz w:val="24"/>
          <w:szCs w:val="24"/>
        </w:rPr>
        <w:t>Objeto</w:t>
      </w:r>
    </w:p>
    <w:p w14:paraId="0906B708" w14:textId="3FE0C0AA" w:rsidR="000E2BEB" w:rsidRDefault="000E2BEB" w:rsidP="00D92DBE">
      <w:pPr>
        <w:spacing w:line="360" w:lineRule="auto"/>
        <w:jc w:val="both"/>
        <w:rPr>
          <w:rFonts w:ascii="Arial" w:hAnsi="Arial" w:cs="Arial"/>
          <w:sz w:val="24"/>
          <w:szCs w:val="24"/>
        </w:rPr>
      </w:pPr>
      <w:r>
        <w:rPr>
          <w:rFonts w:ascii="Arial" w:hAnsi="Arial" w:cs="Arial"/>
          <w:sz w:val="24"/>
          <w:szCs w:val="24"/>
        </w:rPr>
        <w:t xml:space="preserve">Este proyecto de ley </w:t>
      </w:r>
      <w:r w:rsidR="00971069">
        <w:rPr>
          <w:rFonts w:ascii="Arial" w:hAnsi="Arial" w:cs="Arial"/>
          <w:sz w:val="24"/>
          <w:szCs w:val="24"/>
        </w:rPr>
        <w:t>pretende establecer un sistema de redención de penas por trabajo, e</w:t>
      </w:r>
      <w:r w:rsidR="00C74705">
        <w:rPr>
          <w:rFonts w:ascii="Arial" w:hAnsi="Arial" w:cs="Arial"/>
          <w:sz w:val="24"/>
          <w:szCs w:val="24"/>
        </w:rPr>
        <w:t>studio y actividades deportivas</w:t>
      </w:r>
      <w:r w:rsidR="00971069">
        <w:rPr>
          <w:rFonts w:ascii="Arial" w:hAnsi="Arial" w:cs="Arial"/>
          <w:sz w:val="24"/>
          <w:szCs w:val="24"/>
        </w:rPr>
        <w:t xml:space="preserve"> más severo</w:t>
      </w:r>
      <w:r w:rsidR="008B77B8">
        <w:rPr>
          <w:rFonts w:ascii="Arial" w:hAnsi="Arial" w:cs="Arial"/>
          <w:sz w:val="24"/>
          <w:szCs w:val="24"/>
        </w:rPr>
        <w:t>,</w:t>
      </w:r>
      <w:r w:rsidR="00971069">
        <w:rPr>
          <w:rFonts w:ascii="Arial" w:hAnsi="Arial" w:cs="Arial"/>
          <w:sz w:val="24"/>
          <w:szCs w:val="24"/>
        </w:rPr>
        <w:t xml:space="preserve"> </w:t>
      </w:r>
      <w:r w:rsidR="00B46DE9">
        <w:rPr>
          <w:rFonts w:ascii="Arial" w:hAnsi="Arial" w:cs="Arial"/>
          <w:sz w:val="24"/>
          <w:szCs w:val="24"/>
        </w:rPr>
        <w:t>exclusivo para aquellos</w:t>
      </w:r>
      <w:r w:rsidR="00971069">
        <w:rPr>
          <w:rFonts w:ascii="Arial" w:hAnsi="Arial" w:cs="Arial"/>
          <w:sz w:val="24"/>
          <w:szCs w:val="24"/>
        </w:rPr>
        <w:t xml:space="preserve"> </w:t>
      </w:r>
      <w:r w:rsidR="00717C2D">
        <w:rPr>
          <w:rFonts w:ascii="Arial" w:hAnsi="Arial" w:cs="Arial"/>
          <w:sz w:val="24"/>
          <w:szCs w:val="24"/>
        </w:rPr>
        <w:t>condenados</w:t>
      </w:r>
      <w:r w:rsidR="00971069">
        <w:rPr>
          <w:rFonts w:ascii="Arial" w:hAnsi="Arial" w:cs="Arial"/>
          <w:sz w:val="24"/>
          <w:szCs w:val="24"/>
        </w:rPr>
        <w:t xml:space="preserve"> </w:t>
      </w:r>
      <w:r w:rsidR="005E63BC">
        <w:rPr>
          <w:rFonts w:ascii="Arial" w:hAnsi="Arial" w:cs="Arial"/>
          <w:sz w:val="24"/>
          <w:szCs w:val="24"/>
        </w:rPr>
        <w:t xml:space="preserve">por los </w:t>
      </w:r>
      <w:r w:rsidR="00971069">
        <w:rPr>
          <w:rFonts w:ascii="Arial" w:hAnsi="Arial" w:cs="Arial"/>
          <w:sz w:val="24"/>
          <w:szCs w:val="24"/>
        </w:rPr>
        <w:t>delitos de</w:t>
      </w:r>
      <w:r w:rsidR="005E63BC">
        <w:rPr>
          <w:rFonts w:ascii="Arial" w:hAnsi="Arial" w:cs="Arial"/>
          <w:sz w:val="24"/>
          <w:szCs w:val="24"/>
        </w:rPr>
        <w:t>: H</w:t>
      </w:r>
      <w:r w:rsidR="00971069">
        <w:rPr>
          <w:rFonts w:ascii="Arial" w:hAnsi="Arial" w:cs="Arial"/>
          <w:sz w:val="24"/>
          <w:szCs w:val="24"/>
        </w:rPr>
        <w:t>omicidio</w:t>
      </w:r>
      <w:r w:rsidR="00B46DE9">
        <w:rPr>
          <w:rFonts w:ascii="Arial" w:hAnsi="Arial" w:cs="Arial"/>
          <w:sz w:val="24"/>
          <w:szCs w:val="24"/>
        </w:rPr>
        <w:t>, tortura</w:t>
      </w:r>
      <w:r w:rsidR="00971069">
        <w:rPr>
          <w:rFonts w:ascii="Arial" w:hAnsi="Arial" w:cs="Arial"/>
          <w:sz w:val="24"/>
          <w:szCs w:val="24"/>
        </w:rPr>
        <w:t xml:space="preserve"> y de violencia sexual cometidos co</w:t>
      </w:r>
      <w:r w:rsidR="005E63BC">
        <w:rPr>
          <w:rFonts w:ascii="Arial" w:hAnsi="Arial" w:cs="Arial"/>
          <w:sz w:val="24"/>
          <w:szCs w:val="24"/>
        </w:rPr>
        <w:t>ntra niños y/o niñas menores de 14 años.</w:t>
      </w:r>
      <w:r w:rsidR="008B77B8">
        <w:rPr>
          <w:rFonts w:ascii="Arial" w:hAnsi="Arial" w:cs="Arial"/>
          <w:sz w:val="24"/>
          <w:szCs w:val="24"/>
        </w:rPr>
        <w:t xml:space="preserve"> </w:t>
      </w:r>
    </w:p>
    <w:p w14:paraId="61A8594A" w14:textId="18DCDB7C" w:rsidR="00B46DE9" w:rsidRDefault="008B77B8" w:rsidP="00D92DBE">
      <w:pPr>
        <w:spacing w:line="360" w:lineRule="auto"/>
        <w:jc w:val="both"/>
        <w:rPr>
          <w:rFonts w:ascii="Arial" w:hAnsi="Arial" w:cs="Arial"/>
          <w:sz w:val="24"/>
          <w:szCs w:val="24"/>
        </w:rPr>
      </w:pPr>
      <w:r>
        <w:rPr>
          <w:rFonts w:ascii="Arial" w:hAnsi="Arial" w:cs="Arial"/>
          <w:sz w:val="24"/>
          <w:szCs w:val="24"/>
        </w:rPr>
        <w:t xml:space="preserve">Por ende, en este nuevo sistema, el Juez de Ejecución de Penas y Medidas de Seguridad concederá al condenado por los delitos antes descritos, la redención de un (1) día de la pena por cada cuatro (4) días de trabajo, estudio o actividad deportiva y/o literaria. </w:t>
      </w:r>
    </w:p>
    <w:p w14:paraId="6BDCDDDA" w14:textId="77777777" w:rsidR="008B77B8" w:rsidRPr="000E2BEB" w:rsidRDefault="008B77B8" w:rsidP="00D92DBE">
      <w:pPr>
        <w:spacing w:line="360" w:lineRule="auto"/>
        <w:jc w:val="both"/>
        <w:rPr>
          <w:rFonts w:ascii="Arial" w:hAnsi="Arial" w:cs="Arial"/>
          <w:sz w:val="24"/>
          <w:szCs w:val="24"/>
        </w:rPr>
      </w:pPr>
    </w:p>
    <w:p w14:paraId="12764C3E" w14:textId="77777777" w:rsidR="00B46DE9" w:rsidRDefault="00FB0EF5" w:rsidP="00D92DBE">
      <w:pPr>
        <w:pStyle w:val="Prrafodelista"/>
        <w:numPr>
          <w:ilvl w:val="0"/>
          <w:numId w:val="1"/>
        </w:numPr>
        <w:spacing w:line="360" w:lineRule="auto"/>
        <w:jc w:val="both"/>
        <w:rPr>
          <w:rFonts w:ascii="Arial" w:hAnsi="Arial" w:cs="Arial"/>
          <w:b/>
          <w:sz w:val="24"/>
          <w:szCs w:val="24"/>
        </w:rPr>
      </w:pPr>
      <w:r w:rsidRPr="00FB0EF5">
        <w:rPr>
          <w:rFonts w:ascii="Arial" w:hAnsi="Arial" w:cs="Arial"/>
          <w:b/>
          <w:sz w:val="24"/>
          <w:szCs w:val="24"/>
        </w:rPr>
        <w:t xml:space="preserve">Consideraciones </w:t>
      </w:r>
      <w:r w:rsidR="00B46DE9">
        <w:rPr>
          <w:rFonts w:ascii="Arial" w:hAnsi="Arial" w:cs="Arial"/>
          <w:b/>
          <w:sz w:val="24"/>
          <w:szCs w:val="24"/>
        </w:rPr>
        <w:t>Jurídicas</w:t>
      </w:r>
    </w:p>
    <w:p w14:paraId="5F57B0A0" w14:textId="77777777" w:rsidR="001E2954" w:rsidRDefault="001E2954" w:rsidP="00D92DBE">
      <w:pPr>
        <w:pStyle w:val="Prrafodelista"/>
        <w:spacing w:line="360" w:lineRule="auto"/>
        <w:jc w:val="both"/>
        <w:rPr>
          <w:rFonts w:ascii="Arial" w:hAnsi="Arial" w:cs="Arial"/>
          <w:b/>
          <w:sz w:val="24"/>
          <w:szCs w:val="24"/>
        </w:rPr>
      </w:pPr>
    </w:p>
    <w:p w14:paraId="421FDC9E" w14:textId="7FA7E0C4" w:rsidR="00B46DE9" w:rsidRDefault="005E63BC" w:rsidP="00D92DBE">
      <w:pPr>
        <w:pStyle w:val="Prrafodelista"/>
        <w:numPr>
          <w:ilvl w:val="1"/>
          <w:numId w:val="1"/>
        </w:numPr>
        <w:spacing w:line="360" w:lineRule="auto"/>
        <w:jc w:val="both"/>
        <w:rPr>
          <w:rFonts w:ascii="Arial" w:hAnsi="Arial" w:cs="Arial"/>
          <w:b/>
          <w:sz w:val="24"/>
          <w:szCs w:val="24"/>
        </w:rPr>
      </w:pPr>
      <w:r>
        <w:rPr>
          <w:rFonts w:ascii="Arial" w:hAnsi="Arial" w:cs="Arial"/>
          <w:b/>
          <w:sz w:val="24"/>
          <w:szCs w:val="24"/>
        </w:rPr>
        <w:t>D</w:t>
      </w:r>
      <w:r w:rsidR="00B46DE9">
        <w:rPr>
          <w:rFonts w:ascii="Arial" w:hAnsi="Arial" w:cs="Arial"/>
          <w:b/>
          <w:sz w:val="24"/>
          <w:szCs w:val="24"/>
        </w:rPr>
        <w:t>el interes superior del menor</w:t>
      </w:r>
      <w:r>
        <w:rPr>
          <w:rFonts w:ascii="Arial" w:hAnsi="Arial" w:cs="Arial"/>
          <w:b/>
          <w:sz w:val="24"/>
          <w:szCs w:val="24"/>
        </w:rPr>
        <w:t>.</w:t>
      </w:r>
    </w:p>
    <w:p w14:paraId="5B5F61DA" w14:textId="4429FDD8" w:rsidR="00F7402A" w:rsidRPr="00F7402A" w:rsidRDefault="008B77B8" w:rsidP="00D92DBE">
      <w:pPr>
        <w:spacing w:line="360" w:lineRule="auto"/>
        <w:jc w:val="both"/>
        <w:rPr>
          <w:rFonts w:ascii="Arial" w:hAnsi="Arial" w:cs="Arial"/>
          <w:sz w:val="24"/>
          <w:szCs w:val="24"/>
          <w:lang w:val="es-ES"/>
        </w:rPr>
      </w:pPr>
      <w:r>
        <w:rPr>
          <w:rFonts w:ascii="Arial" w:hAnsi="Arial" w:cs="Arial"/>
          <w:sz w:val="24"/>
          <w:szCs w:val="24"/>
          <w:lang w:val="es-ES"/>
        </w:rPr>
        <w:t>E</w:t>
      </w:r>
      <w:r w:rsidR="005E63BC">
        <w:rPr>
          <w:rFonts w:ascii="Arial" w:hAnsi="Arial" w:cs="Arial"/>
          <w:sz w:val="24"/>
          <w:szCs w:val="24"/>
          <w:lang w:val="es-ES"/>
        </w:rPr>
        <w:t>l</w:t>
      </w:r>
      <w:r w:rsidR="00921EC5">
        <w:rPr>
          <w:rFonts w:ascii="Arial" w:hAnsi="Arial" w:cs="Arial"/>
          <w:sz w:val="24"/>
          <w:szCs w:val="24"/>
          <w:lang w:val="es-ES"/>
        </w:rPr>
        <w:t xml:space="preserve"> interés sup</w:t>
      </w:r>
      <w:r>
        <w:rPr>
          <w:rFonts w:ascii="Arial" w:hAnsi="Arial" w:cs="Arial"/>
          <w:sz w:val="24"/>
          <w:szCs w:val="24"/>
          <w:lang w:val="es-ES"/>
        </w:rPr>
        <w:t xml:space="preserve">erior del menor </w:t>
      </w:r>
      <w:r w:rsidR="005E63BC">
        <w:rPr>
          <w:rFonts w:ascii="Arial" w:hAnsi="Arial" w:cs="Arial"/>
          <w:sz w:val="24"/>
          <w:szCs w:val="24"/>
          <w:lang w:val="es-ES"/>
        </w:rPr>
        <w:t xml:space="preserve">de edad, </w:t>
      </w:r>
      <w:r>
        <w:rPr>
          <w:rFonts w:ascii="Arial" w:hAnsi="Arial" w:cs="Arial"/>
          <w:sz w:val="24"/>
          <w:szCs w:val="24"/>
          <w:lang w:val="es-ES"/>
        </w:rPr>
        <w:t xml:space="preserve">es un </w:t>
      </w:r>
      <w:r w:rsidR="00921EC5">
        <w:rPr>
          <w:rFonts w:ascii="Arial" w:hAnsi="Arial" w:cs="Arial"/>
          <w:sz w:val="24"/>
          <w:szCs w:val="24"/>
          <w:lang w:val="es-ES"/>
        </w:rPr>
        <w:t>principio que tiene</w:t>
      </w:r>
      <w:r>
        <w:rPr>
          <w:rFonts w:ascii="Arial" w:hAnsi="Arial" w:cs="Arial"/>
          <w:sz w:val="24"/>
          <w:szCs w:val="24"/>
          <w:lang w:val="es-ES"/>
        </w:rPr>
        <w:t xml:space="preserve"> </w:t>
      </w:r>
      <w:r w:rsidR="00921EC5">
        <w:rPr>
          <w:rFonts w:ascii="Arial" w:hAnsi="Arial" w:cs="Arial"/>
          <w:sz w:val="24"/>
          <w:szCs w:val="24"/>
          <w:lang w:val="es-ES"/>
        </w:rPr>
        <w:t>su génesis en</w:t>
      </w:r>
      <w:r w:rsidR="005E63BC">
        <w:rPr>
          <w:rFonts w:ascii="Arial" w:hAnsi="Arial" w:cs="Arial"/>
          <w:sz w:val="24"/>
          <w:szCs w:val="24"/>
          <w:lang w:val="es-ES"/>
        </w:rPr>
        <w:t xml:space="preserve"> Tratados</w:t>
      </w:r>
      <w:r w:rsidR="00921EC5">
        <w:rPr>
          <w:rFonts w:ascii="Arial" w:hAnsi="Arial" w:cs="Arial"/>
          <w:sz w:val="24"/>
          <w:szCs w:val="24"/>
          <w:lang w:val="es-ES"/>
        </w:rPr>
        <w:t xml:space="preserve"> internacionales </w:t>
      </w:r>
      <w:r w:rsidR="005E63BC">
        <w:rPr>
          <w:rFonts w:ascii="Arial" w:hAnsi="Arial" w:cs="Arial"/>
          <w:sz w:val="24"/>
          <w:szCs w:val="24"/>
          <w:lang w:val="es-ES"/>
        </w:rPr>
        <w:t>suscritos por Colombia,</w:t>
      </w:r>
      <w:r>
        <w:rPr>
          <w:rFonts w:ascii="Arial" w:hAnsi="Arial" w:cs="Arial"/>
          <w:sz w:val="24"/>
          <w:szCs w:val="24"/>
          <w:lang w:val="es-ES"/>
        </w:rPr>
        <w:t xml:space="preserve"> y luego adoptado</w:t>
      </w:r>
      <w:r w:rsidR="005E63BC">
        <w:rPr>
          <w:rFonts w:ascii="Arial" w:hAnsi="Arial" w:cs="Arial"/>
          <w:sz w:val="24"/>
          <w:szCs w:val="24"/>
          <w:lang w:val="es-ES"/>
        </w:rPr>
        <w:t xml:space="preserve"> en nuestro ordenamiento jurídico interno en la Carta Política y </w:t>
      </w:r>
      <w:r>
        <w:rPr>
          <w:rFonts w:ascii="Arial" w:hAnsi="Arial" w:cs="Arial"/>
          <w:sz w:val="24"/>
          <w:szCs w:val="24"/>
          <w:lang w:val="es-ES"/>
        </w:rPr>
        <w:t xml:space="preserve">en </w:t>
      </w:r>
      <w:r w:rsidR="005E63BC">
        <w:rPr>
          <w:rFonts w:ascii="Arial" w:hAnsi="Arial" w:cs="Arial"/>
          <w:sz w:val="24"/>
          <w:szCs w:val="24"/>
          <w:lang w:val="es-ES"/>
        </w:rPr>
        <w:t>el Código de Infancia y Adolescencia.</w:t>
      </w:r>
      <w:r w:rsidR="00921EC5">
        <w:rPr>
          <w:rFonts w:ascii="Arial" w:hAnsi="Arial" w:cs="Arial"/>
          <w:sz w:val="24"/>
          <w:szCs w:val="24"/>
          <w:lang w:val="es-ES"/>
        </w:rPr>
        <w:t xml:space="preserve"> </w:t>
      </w:r>
    </w:p>
    <w:p w14:paraId="7539DAD5" w14:textId="2895F9FA" w:rsidR="005E63BC" w:rsidRDefault="00A746CD" w:rsidP="00D92DBE">
      <w:pPr>
        <w:shd w:val="clear" w:color="auto" w:fill="FFFFFF"/>
        <w:spacing w:line="360" w:lineRule="auto"/>
        <w:jc w:val="both"/>
        <w:rPr>
          <w:rFonts w:ascii="Arial" w:hAnsi="Arial" w:cs="Arial"/>
          <w:sz w:val="24"/>
          <w:szCs w:val="24"/>
          <w:lang w:val="es-ES_tradnl"/>
        </w:rPr>
      </w:pPr>
      <w:r w:rsidRPr="00A746CD">
        <w:rPr>
          <w:rFonts w:ascii="Arial" w:hAnsi="Arial" w:cs="Arial"/>
          <w:sz w:val="24"/>
          <w:szCs w:val="24"/>
        </w:rPr>
        <w:t>A escala internacional</w:t>
      </w:r>
      <w:r w:rsidR="005E63BC">
        <w:rPr>
          <w:rFonts w:ascii="Arial" w:hAnsi="Arial" w:cs="Arial"/>
          <w:sz w:val="24"/>
          <w:szCs w:val="24"/>
        </w:rPr>
        <w:t xml:space="preserve">, la Declaración Universal de Derechos Humanos (1948) estableció por primera vez la especialidad de la niñez como sector poblacional en su artículo 25, numeral 2: </w:t>
      </w:r>
      <w:r w:rsidR="005E63BC" w:rsidRPr="005E63BC">
        <w:rPr>
          <w:rFonts w:ascii="Arial" w:hAnsi="Arial" w:cs="Arial"/>
          <w:i/>
          <w:iCs/>
          <w:sz w:val="24"/>
          <w:szCs w:val="24"/>
          <w:lang w:val="es-ES_tradnl"/>
        </w:rPr>
        <w:t xml:space="preserve">"La maternidad </w:t>
      </w:r>
      <w:r w:rsidR="005E63BC" w:rsidRPr="005E63BC">
        <w:rPr>
          <w:rFonts w:ascii="Arial" w:hAnsi="Arial" w:cs="Arial"/>
          <w:i/>
          <w:iCs/>
          <w:sz w:val="24"/>
          <w:szCs w:val="24"/>
          <w:u w:val="single"/>
          <w:lang w:val="es-ES_tradnl"/>
        </w:rPr>
        <w:t>y la infancia tienen derecho a cuidados y asistencia especiales</w:t>
      </w:r>
      <w:r w:rsidR="005E63BC">
        <w:rPr>
          <w:rFonts w:ascii="Arial" w:hAnsi="Arial" w:cs="Arial"/>
          <w:i/>
          <w:iCs/>
          <w:sz w:val="24"/>
          <w:szCs w:val="24"/>
          <w:lang w:val="es-ES_tradnl"/>
        </w:rPr>
        <w:t>. T</w:t>
      </w:r>
      <w:r w:rsidR="005E63BC" w:rsidRPr="005E63BC">
        <w:rPr>
          <w:rFonts w:ascii="Arial" w:hAnsi="Arial" w:cs="Arial"/>
          <w:i/>
          <w:iCs/>
          <w:sz w:val="24"/>
          <w:szCs w:val="24"/>
          <w:lang w:val="es-ES_tradnl"/>
        </w:rPr>
        <w:t>odos los niños, nacidos de matrimonio o fuera de matrimonio, tienen derecho a igual protección social"</w:t>
      </w:r>
      <w:r w:rsidR="005E63BC">
        <w:rPr>
          <w:rFonts w:ascii="Arial" w:hAnsi="Arial" w:cs="Arial"/>
          <w:sz w:val="24"/>
          <w:szCs w:val="24"/>
          <w:lang w:val="es-ES_tradnl"/>
        </w:rPr>
        <w:t>.</w:t>
      </w:r>
      <w:r w:rsidR="008B77B8">
        <w:rPr>
          <w:rFonts w:ascii="Arial" w:hAnsi="Arial" w:cs="Arial"/>
          <w:sz w:val="24"/>
          <w:szCs w:val="24"/>
          <w:lang w:val="es-ES_tradnl"/>
        </w:rPr>
        <w:t xml:space="preserve"> (Subrayado fuera del texto original).</w:t>
      </w:r>
    </w:p>
    <w:p w14:paraId="12379128" w14:textId="2F985E2A" w:rsidR="008B77B8" w:rsidRPr="008B77B8" w:rsidRDefault="008B77B8" w:rsidP="00D92DBE">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A su vez,</w:t>
      </w:r>
      <w:r w:rsidRPr="008B77B8">
        <w:rPr>
          <w:rFonts w:ascii="Arial" w:hAnsi="Arial" w:cs="Arial"/>
          <w:sz w:val="24"/>
          <w:szCs w:val="24"/>
          <w:lang w:val="es-ES_tradnl"/>
        </w:rPr>
        <w:t xml:space="preserve"> el Pacto Internacional de Derechos Civ</w:t>
      </w:r>
      <w:r>
        <w:rPr>
          <w:rFonts w:ascii="Arial" w:hAnsi="Arial" w:cs="Arial"/>
          <w:sz w:val="24"/>
          <w:szCs w:val="24"/>
          <w:lang w:val="es-ES_tradnl"/>
        </w:rPr>
        <w:t>iles y Políticos (1966</w:t>
      </w:r>
      <w:r w:rsidRPr="008B77B8">
        <w:rPr>
          <w:rFonts w:ascii="Arial" w:hAnsi="Arial" w:cs="Arial"/>
          <w:sz w:val="24"/>
          <w:szCs w:val="24"/>
          <w:lang w:val="es-ES_tradnl"/>
        </w:rPr>
        <w:t xml:space="preserve">) </w:t>
      </w:r>
      <w:r>
        <w:rPr>
          <w:rFonts w:ascii="Arial" w:hAnsi="Arial" w:cs="Arial"/>
          <w:sz w:val="24"/>
          <w:szCs w:val="24"/>
          <w:lang w:val="es-ES_tradnl"/>
        </w:rPr>
        <w:t>preclaró en el artículo 24, que</w:t>
      </w:r>
      <w:r w:rsidRPr="008B77B8">
        <w:rPr>
          <w:rFonts w:ascii="Arial" w:hAnsi="Arial" w:cs="Arial"/>
          <w:sz w:val="24"/>
          <w:szCs w:val="24"/>
          <w:lang w:val="es-ES_tradnl"/>
        </w:rPr>
        <w:t xml:space="preserve"> los niños tienen </w:t>
      </w:r>
      <w:r w:rsidRPr="008B77B8">
        <w:rPr>
          <w:rFonts w:ascii="Arial" w:hAnsi="Arial" w:cs="Arial"/>
          <w:iCs/>
          <w:sz w:val="24"/>
          <w:szCs w:val="24"/>
          <w:lang w:val="es-ES_tradnl"/>
        </w:rPr>
        <w:t>"</w:t>
      </w:r>
      <w:r w:rsidRPr="008B77B8">
        <w:rPr>
          <w:rFonts w:ascii="Arial" w:hAnsi="Arial" w:cs="Arial"/>
          <w:i/>
          <w:iCs/>
          <w:sz w:val="24"/>
          <w:szCs w:val="24"/>
          <w:lang w:val="es-ES_tradnl"/>
        </w:rPr>
        <w:t>derecho, sin discriminación alguna por motivos de raza, color, sexo, idioma, religión, origen nacional o social, posición económica o nacimiento</w:t>
      </w:r>
      <w:r w:rsidRPr="008B77B8">
        <w:rPr>
          <w:rFonts w:ascii="Arial" w:hAnsi="Arial" w:cs="Arial"/>
          <w:i/>
          <w:iCs/>
          <w:sz w:val="24"/>
          <w:szCs w:val="24"/>
          <w:u w:val="single"/>
          <w:lang w:val="es-ES_tradnl"/>
        </w:rPr>
        <w:t>, a las medidas de protección que su condición de menor requiere</w:t>
      </w:r>
      <w:r w:rsidRPr="008B77B8">
        <w:rPr>
          <w:rFonts w:ascii="Arial" w:hAnsi="Arial" w:cs="Arial"/>
          <w:i/>
          <w:iCs/>
          <w:sz w:val="24"/>
          <w:szCs w:val="24"/>
          <w:lang w:val="es-ES_tradnl"/>
        </w:rPr>
        <w:t xml:space="preserve">, tanto </w:t>
      </w:r>
      <w:r w:rsidRPr="008B77B8">
        <w:rPr>
          <w:rFonts w:ascii="Arial" w:hAnsi="Arial" w:cs="Arial"/>
          <w:i/>
          <w:iCs/>
          <w:sz w:val="24"/>
          <w:szCs w:val="24"/>
          <w:lang w:val="es-ES_tradnl"/>
        </w:rPr>
        <w:lastRenderedPageBreak/>
        <w:t xml:space="preserve">por parte de su familia como de la sociedad </w:t>
      </w:r>
      <w:r w:rsidRPr="008B77B8">
        <w:rPr>
          <w:rFonts w:ascii="Arial" w:hAnsi="Arial" w:cs="Arial"/>
          <w:i/>
          <w:iCs/>
          <w:sz w:val="24"/>
          <w:szCs w:val="24"/>
          <w:u w:val="single"/>
          <w:lang w:val="es-ES_tradnl"/>
        </w:rPr>
        <w:t>y del Estado</w:t>
      </w:r>
      <w:r w:rsidRPr="008B77B8">
        <w:rPr>
          <w:rFonts w:ascii="Arial" w:hAnsi="Arial" w:cs="Arial"/>
          <w:i/>
          <w:iCs/>
          <w:sz w:val="24"/>
          <w:szCs w:val="24"/>
          <w:lang w:val="es-ES_tradnl"/>
        </w:rPr>
        <w:t>"</w:t>
      </w:r>
      <w:r>
        <w:rPr>
          <w:rFonts w:ascii="Arial" w:hAnsi="Arial" w:cs="Arial"/>
          <w:i/>
          <w:iCs/>
          <w:sz w:val="24"/>
          <w:szCs w:val="24"/>
          <w:lang w:val="es-ES_tradnl"/>
        </w:rPr>
        <w:t xml:space="preserve">. </w:t>
      </w:r>
      <w:r>
        <w:rPr>
          <w:rFonts w:ascii="Arial" w:hAnsi="Arial" w:cs="Arial"/>
          <w:sz w:val="24"/>
          <w:szCs w:val="24"/>
          <w:lang w:val="es-ES_tradnl"/>
        </w:rPr>
        <w:t>(Subrayado fuera del texto original).</w:t>
      </w:r>
    </w:p>
    <w:p w14:paraId="478D1A22" w14:textId="2FA10D4D" w:rsidR="00A746CD" w:rsidRDefault="005E63BC" w:rsidP="00D92DBE">
      <w:pPr>
        <w:shd w:val="clear" w:color="auto" w:fill="FFFFFF"/>
        <w:spacing w:line="360" w:lineRule="auto"/>
        <w:jc w:val="both"/>
        <w:rPr>
          <w:rFonts w:ascii="Arial" w:hAnsi="Arial" w:cs="Arial"/>
          <w:sz w:val="24"/>
          <w:szCs w:val="24"/>
        </w:rPr>
      </w:pPr>
      <w:r>
        <w:rPr>
          <w:rFonts w:ascii="Arial" w:hAnsi="Arial" w:cs="Arial"/>
          <w:sz w:val="24"/>
          <w:szCs w:val="24"/>
        </w:rPr>
        <w:t xml:space="preserve">Especificamente, </w:t>
      </w:r>
      <w:r w:rsidR="00A746CD" w:rsidRPr="00A746CD">
        <w:rPr>
          <w:rFonts w:ascii="Arial" w:hAnsi="Arial" w:cs="Arial"/>
          <w:sz w:val="24"/>
          <w:szCs w:val="24"/>
        </w:rPr>
        <w:t xml:space="preserve">el principal </w:t>
      </w:r>
      <w:r>
        <w:rPr>
          <w:rFonts w:ascii="Arial" w:hAnsi="Arial" w:cs="Arial"/>
          <w:sz w:val="24"/>
          <w:szCs w:val="24"/>
        </w:rPr>
        <w:t>instrumento jurídico sobre</w:t>
      </w:r>
      <w:r w:rsidR="00A746CD" w:rsidRPr="00A746CD">
        <w:rPr>
          <w:rFonts w:ascii="Arial" w:hAnsi="Arial" w:cs="Arial"/>
          <w:sz w:val="24"/>
          <w:szCs w:val="24"/>
        </w:rPr>
        <w:t xml:space="preserve"> la protecció</w:t>
      </w:r>
      <w:r>
        <w:rPr>
          <w:rFonts w:ascii="Arial" w:hAnsi="Arial" w:cs="Arial"/>
          <w:sz w:val="24"/>
          <w:szCs w:val="24"/>
        </w:rPr>
        <w:t>n de</w:t>
      </w:r>
      <w:r w:rsidR="00A746CD" w:rsidRPr="00A746CD">
        <w:rPr>
          <w:rFonts w:ascii="Arial" w:hAnsi="Arial" w:cs="Arial"/>
          <w:sz w:val="24"/>
          <w:szCs w:val="24"/>
        </w:rPr>
        <w:t xml:space="preserve"> </w:t>
      </w:r>
      <w:r>
        <w:rPr>
          <w:rFonts w:ascii="Arial" w:hAnsi="Arial" w:cs="Arial"/>
          <w:sz w:val="24"/>
          <w:szCs w:val="24"/>
        </w:rPr>
        <w:t>la niñez,</w:t>
      </w:r>
      <w:r w:rsidR="00A746CD" w:rsidRPr="00A746CD">
        <w:rPr>
          <w:rFonts w:ascii="Arial" w:hAnsi="Arial" w:cs="Arial"/>
          <w:sz w:val="24"/>
          <w:szCs w:val="24"/>
        </w:rPr>
        <w:t xml:space="preserve"> es la</w:t>
      </w:r>
      <w:r w:rsidR="00A746CD">
        <w:rPr>
          <w:rFonts w:ascii="Arial" w:hAnsi="Arial" w:cs="Arial"/>
          <w:sz w:val="24"/>
          <w:szCs w:val="24"/>
        </w:rPr>
        <w:t xml:space="preserve"> </w:t>
      </w:r>
      <w:r w:rsidR="00A746CD" w:rsidRPr="00A746CD">
        <w:rPr>
          <w:rFonts w:ascii="Arial" w:hAnsi="Arial" w:cs="Arial"/>
          <w:sz w:val="24"/>
          <w:szCs w:val="24"/>
        </w:rPr>
        <w:t xml:space="preserve">Convención </w:t>
      </w:r>
      <w:r w:rsidR="008B77B8">
        <w:rPr>
          <w:rFonts w:ascii="Arial" w:hAnsi="Arial" w:cs="Arial"/>
          <w:sz w:val="24"/>
          <w:szCs w:val="24"/>
        </w:rPr>
        <w:t xml:space="preserve">Internacional </w:t>
      </w:r>
      <w:r w:rsidR="00A746CD" w:rsidRPr="00A746CD">
        <w:rPr>
          <w:rFonts w:ascii="Arial" w:hAnsi="Arial" w:cs="Arial"/>
          <w:sz w:val="24"/>
          <w:szCs w:val="24"/>
        </w:rPr>
        <w:t xml:space="preserve">sobre los Derechos del Niño y de la Niña de la Organización de las </w:t>
      </w:r>
      <w:r w:rsidR="008B77B8">
        <w:rPr>
          <w:rFonts w:ascii="Arial" w:hAnsi="Arial" w:cs="Arial"/>
          <w:sz w:val="24"/>
          <w:szCs w:val="24"/>
        </w:rPr>
        <w:t>Naciones Unidas – ONU (1989)</w:t>
      </w:r>
      <w:r w:rsidR="00A746CD" w:rsidRPr="00A746CD">
        <w:rPr>
          <w:rFonts w:ascii="Arial" w:hAnsi="Arial" w:cs="Arial"/>
          <w:sz w:val="24"/>
          <w:szCs w:val="24"/>
        </w:rPr>
        <w:t xml:space="preserve">, en esta Convención se </w:t>
      </w:r>
      <w:r>
        <w:rPr>
          <w:rFonts w:ascii="Arial" w:hAnsi="Arial" w:cs="Arial"/>
          <w:sz w:val="24"/>
          <w:szCs w:val="24"/>
        </w:rPr>
        <w:t>estableció por primera vez</w:t>
      </w:r>
      <w:r w:rsidR="008B77B8">
        <w:rPr>
          <w:rFonts w:ascii="Arial" w:hAnsi="Arial" w:cs="Arial"/>
          <w:sz w:val="24"/>
          <w:szCs w:val="24"/>
        </w:rPr>
        <w:t xml:space="preserve"> claramente</w:t>
      </w:r>
      <w:r>
        <w:rPr>
          <w:rFonts w:ascii="Arial" w:hAnsi="Arial" w:cs="Arial"/>
          <w:sz w:val="24"/>
          <w:szCs w:val="24"/>
        </w:rPr>
        <w:t>, ese</w:t>
      </w:r>
      <w:r w:rsidR="00A746CD" w:rsidRPr="00A746CD">
        <w:rPr>
          <w:rFonts w:ascii="Arial" w:hAnsi="Arial" w:cs="Arial"/>
          <w:sz w:val="24"/>
          <w:szCs w:val="24"/>
        </w:rPr>
        <w:t xml:space="preserve"> principio fundamental: La prevalencia del interes superior del niño, en donde los Estados están obligados a que “</w:t>
      </w:r>
      <w:r w:rsidR="00A746CD" w:rsidRPr="00D92DBE">
        <w:rPr>
          <w:rFonts w:ascii="Arial" w:hAnsi="Arial" w:cs="Arial"/>
          <w:i/>
          <w:sz w:val="24"/>
          <w:szCs w:val="24"/>
          <w:u w:val="single"/>
        </w:rPr>
        <w:t>en todas las medidas concernientes a los niños</w:t>
      </w:r>
      <w:r w:rsidR="00A746CD" w:rsidRPr="00A746CD">
        <w:rPr>
          <w:rFonts w:ascii="Arial" w:hAnsi="Arial" w:cs="Arial"/>
          <w:i/>
          <w:sz w:val="24"/>
          <w:szCs w:val="24"/>
        </w:rPr>
        <w:t xml:space="preserve"> que tomen las instituciones </w:t>
      </w:r>
      <w:r w:rsidR="00A746CD" w:rsidRPr="005E63BC">
        <w:rPr>
          <w:rFonts w:ascii="Arial" w:hAnsi="Arial" w:cs="Arial"/>
          <w:i/>
          <w:sz w:val="24"/>
          <w:szCs w:val="24"/>
          <w:u w:val="single"/>
        </w:rPr>
        <w:t>públicas</w:t>
      </w:r>
      <w:r w:rsidR="00A746CD" w:rsidRPr="00A746CD">
        <w:rPr>
          <w:rFonts w:ascii="Arial" w:hAnsi="Arial" w:cs="Arial"/>
          <w:i/>
          <w:sz w:val="24"/>
          <w:szCs w:val="24"/>
        </w:rPr>
        <w:t xml:space="preserve"> o privadas de bienestar social, los tribunales, las autoridades administrativas o los órganos legislativos, una consideración primordial a que </w:t>
      </w:r>
      <w:r w:rsidR="00A746CD" w:rsidRPr="00D92DBE">
        <w:rPr>
          <w:rFonts w:ascii="Arial" w:hAnsi="Arial" w:cs="Arial"/>
          <w:i/>
          <w:sz w:val="24"/>
          <w:szCs w:val="24"/>
          <w:u w:val="single"/>
        </w:rPr>
        <w:t>se atenderá será el interés superior</w:t>
      </w:r>
      <w:r w:rsidR="00A746CD" w:rsidRPr="00A746CD">
        <w:rPr>
          <w:rFonts w:ascii="Arial" w:hAnsi="Arial" w:cs="Arial"/>
          <w:sz w:val="24"/>
          <w:szCs w:val="24"/>
        </w:rPr>
        <w:t>”</w:t>
      </w:r>
      <w:r w:rsidR="00D92DBE">
        <w:rPr>
          <w:rFonts w:ascii="Arial" w:hAnsi="Arial" w:cs="Arial"/>
          <w:sz w:val="24"/>
          <w:szCs w:val="24"/>
        </w:rPr>
        <w:t>. (Subrayado fuera del texto original)</w:t>
      </w:r>
      <w:r w:rsidR="008B77B8">
        <w:rPr>
          <w:rFonts w:ascii="Arial" w:hAnsi="Arial" w:cs="Arial"/>
          <w:sz w:val="24"/>
          <w:szCs w:val="24"/>
        </w:rPr>
        <w:t>.</w:t>
      </w:r>
    </w:p>
    <w:p w14:paraId="5CFEA0C3" w14:textId="32B01A6D" w:rsidR="00D92DBE" w:rsidRPr="008B77B8" w:rsidRDefault="00D92DBE" w:rsidP="00D92DBE">
      <w:pPr>
        <w:shd w:val="clear" w:color="auto" w:fill="FFFFFF"/>
        <w:spacing w:line="360" w:lineRule="auto"/>
        <w:jc w:val="both"/>
        <w:rPr>
          <w:rFonts w:ascii="Arial" w:hAnsi="Arial" w:cs="Arial"/>
          <w:sz w:val="24"/>
          <w:szCs w:val="24"/>
          <w:lang w:val="es-ES_tradnl"/>
        </w:rPr>
      </w:pPr>
      <w:r w:rsidRPr="00D92DBE">
        <w:rPr>
          <w:rFonts w:ascii="Arial" w:hAnsi="Arial" w:cs="Arial"/>
          <w:sz w:val="24"/>
          <w:szCs w:val="24"/>
        </w:rPr>
        <w:t>Por su parte, el Protocolo Facultativo de la Convención de los Derechos de la Niñez, relativo a la venta, prostitución y pornografía infantil (2000) en su artículo 8º obliga a Colombia a “</w:t>
      </w:r>
      <w:r w:rsidRPr="005E63BC">
        <w:rPr>
          <w:rFonts w:ascii="Arial" w:hAnsi="Arial" w:cs="Arial"/>
          <w:i/>
          <w:sz w:val="24"/>
          <w:szCs w:val="24"/>
          <w:u w:val="single"/>
        </w:rPr>
        <w:t>Reconocer la vulnerabilidad de los niños víctimas</w:t>
      </w:r>
      <w:r w:rsidRPr="005E63BC">
        <w:rPr>
          <w:rFonts w:ascii="Arial" w:hAnsi="Arial" w:cs="Arial"/>
          <w:i/>
          <w:sz w:val="24"/>
          <w:szCs w:val="24"/>
        </w:rPr>
        <w:t xml:space="preserve"> y adaptar los procedimientos de forma que se reconozcan sus necesidades especiales, incluidas las necesidades especiales para declarar como testigos</w:t>
      </w:r>
      <w:r w:rsidRPr="00D92DBE">
        <w:rPr>
          <w:rFonts w:ascii="Arial" w:hAnsi="Arial" w:cs="Arial"/>
          <w:sz w:val="24"/>
          <w:szCs w:val="24"/>
        </w:rPr>
        <w:t>”.</w:t>
      </w:r>
      <w:r w:rsidR="008B77B8">
        <w:rPr>
          <w:rFonts w:ascii="Arial" w:hAnsi="Arial" w:cs="Arial"/>
          <w:sz w:val="24"/>
          <w:szCs w:val="24"/>
        </w:rPr>
        <w:t xml:space="preserve"> </w:t>
      </w:r>
      <w:r w:rsidR="008B77B8">
        <w:rPr>
          <w:rFonts w:ascii="Arial" w:hAnsi="Arial" w:cs="Arial"/>
          <w:sz w:val="24"/>
          <w:szCs w:val="24"/>
          <w:lang w:val="es-ES_tradnl"/>
        </w:rPr>
        <w:t>(Subrayado fuera del texto original).</w:t>
      </w:r>
    </w:p>
    <w:p w14:paraId="2F6A3813" w14:textId="5A43EFEC" w:rsidR="00D92DBE" w:rsidRPr="008B77B8" w:rsidRDefault="00D92DBE" w:rsidP="00D92DBE">
      <w:pPr>
        <w:shd w:val="clear" w:color="auto" w:fill="FFFFFF"/>
        <w:spacing w:line="360" w:lineRule="auto"/>
        <w:jc w:val="both"/>
        <w:rPr>
          <w:rFonts w:ascii="Arial" w:hAnsi="Arial" w:cs="Arial"/>
          <w:sz w:val="24"/>
          <w:szCs w:val="24"/>
          <w:lang w:val="es-ES_tradnl"/>
        </w:rPr>
      </w:pPr>
      <w:r w:rsidRPr="00D92DBE">
        <w:rPr>
          <w:rFonts w:ascii="Arial" w:hAnsi="Arial" w:cs="Arial"/>
          <w:sz w:val="24"/>
          <w:szCs w:val="24"/>
        </w:rPr>
        <w:t>A nivel Regional, en Latinoamérica la Convención Américana sobre Derechos Humanos (1969) señaló en su artículo 19: “</w:t>
      </w:r>
      <w:r w:rsidRPr="005E63BC">
        <w:rPr>
          <w:rFonts w:ascii="Arial" w:hAnsi="Arial" w:cs="Arial"/>
          <w:i/>
          <w:sz w:val="24"/>
          <w:szCs w:val="24"/>
          <w:u w:val="single"/>
        </w:rPr>
        <w:t>Todo niño tiene derecho</w:t>
      </w:r>
      <w:r w:rsidRPr="005E63BC">
        <w:rPr>
          <w:rFonts w:ascii="Arial" w:hAnsi="Arial" w:cs="Arial"/>
          <w:i/>
          <w:sz w:val="24"/>
          <w:szCs w:val="24"/>
        </w:rPr>
        <w:t xml:space="preserve"> a las medidas de protección que su condición de menor requieren por parte de su familia, de la sociedad </w:t>
      </w:r>
      <w:r w:rsidRPr="005E63BC">
        <w:rPr>
          <w:rFonts w:ascii="Arial" w:hAnsi="Arial" w:cs="Arial"/>
          <w:i/>
          <w:sz w:val="24"/>
          <w:szCs w:val="24"/>
          <w:u w:val="single"/>
        </w:rPr>
        <w:t>y del Estado</w:t>
      </w:r>
      <w:r w:rsidRPr="00D92DBE">
        <w:rPr>
          <w:rFonts w:ascii="Arial" w:hAnsi="Arial" w:cs="Arial"/>
          <w:sz w:val="24"/>
          <w:szCs w:val="24"/>
        </w:rPr>
        <w:t>”.</w:t>
      </w:r>
      <w:r w:rsidR="005E63BC">
        <w:rPr>
          <w:rFonts w:ascii="Arial" w:hAnsi="Arial" w:cs="Arial"/>
          <w:sz w:val="24"/>
          <w:szCs w:val="24"/>
        </w:rPr>
        <w:t xml:space="preserve"> </w:t>
      </w:r>
      <w:r w:rsidR="005E63BC" w:rsidRPr="005E63BC">
        <w:rPr>
          <w:rFonts w:ascii="Arial" w:hAnsi="Arial" w:cs="Arial"/>
          <w:color w:val="222222"/>
          <w:sz w:val="24"/>
          <w:szCs w:val="24"/>
        </w:rPr>
        <w:t>(Entiéndase al Estado en las 3 Ramas </w:t>
      </w:r>
      <w:r w:rsidR="005E63BC" w:rsidRPr="005E63BC">
        <w:rPr>
          <w:rStyle w:val="il"/>
          <w:rFonts w:ascii="Arial" w:hAnsi="Arial" w:cs="Arial"/>
          <w:color w:val="222222"/>
          <w:sz w:val="24"/>
          <w:szCs w:val="24"/>
        </w:rPr>
        <w:t>del</w:t>
      </w:r>
      <w:r w:rsidR="005E63BC" w:rsidRPr="005E63BC">
        <w:rPr>
          <w:rFonts w:ascii="Arial" w:hAnsi="Arial" w:cs="Arial"/>
          <w:color w:val="222222"/>
          <w:sz w:val="24"/>
          <w:szCs w:val="24"/>
        </w:rPr>
        <w:t> Poder: Judicial, Legislativa y Ejecutiva)</w:t>
      </w:r>
      <w:r w:rsidR="005E63BC">
        <w:rPr>
          <w:rFonts w:ascii="Arial" w:hAnsi="Arial" w:cs="Arial"/>
          <w:color w:val="222222"/>
          <w:sz w:val="24"/>
          <w:szCs w:val="24"/>
        </w:rPr>
        <w:t>.</w:t>
      </w:r>
      <w:r w:rsidR="008B77B8">
        <w:rPr>
          <w:rFonts w:ascii="Arial" w:hAnsi="Arial" w:cs="Arial"/>
          <w:color w:val="222222"/>
          <w:sz w:val="24"/>
          <w:szCs w:val="24"/>
        </w:rPr>
        <w:t xml:space="preserve"> </w:t>
      </w:r>
      <w:r w:rsidR="008B77B8">
        <w:rPr>
          <w:rFonts w:ascii="Arial" w:hAnsi="Arial" w:cs="Arial"/>
          <w:sz w:val="24"/>
          <w:szCs w:val="24"/>
          <w:lang w:val="es-ES_tradnl"/>
        </w:rPr>
        <w:t>(Subrayado fuera del texto original).</w:t>
      </w:r>
    </w:p>
    <w:p w14:paraId="18F60593" w14:textId="504E88C6" w:rsidR="005E63BC" w:rsidRPr="008B77B8" w:rsidRDefault="00D92DBE" w:rsidP="00D92DBE">
      <w:pPr>
        <w:shd w:val="clear" w:color="auto" w:fill="FFFFFF"/>
        <w:spacing w:line="360" w:lineRule="auto"/>
        <w:jc w:val="both"/>
        <w:rPr>
          <w:rFonts w:ascii="Arial" w:hAnsi="Arial" w:cs="Arial"/>
          <w:sz w:val="24"/>
          <w:szCs w:val="24"/>
          <w:lang w:val="es-ES_tradnl"/>
        </w:rPr>
      </w:pPr>
      <w:r w:rsidRPr="00D92DBE">
        <w:rPr>
          <w:rFonts w:ascii="Arial" w:hAnsi="Arial" w:cs="Arial"/>
          <w:sz w:val="24"/>
          <w:szCs w:val="24"/>
        </w:rPr>
        <w:t>Por otro lado, en nuestro ordenamiento jurídico interno, el Constituyente de 1991 resaltó esa especialidad de los menores de edad a través del artículo 44 de la Carta Magna</w:t>
      </w:r>
      <w:r w:rsidR="005E63BC">
        <w:rPr>
          <w:rFonts w:ascii="Arial" w:hAnsi="Arial" w:cs="Arial"/>
          <w:sz w:val="24"/>
          <w:szCs w:val="24"/>
        </w:rPr>
        <w:t>, la cual</w:t>
      </w:r>
      <w:r w:rsidRPr="00D92DBE">
        <w:rPr>
          <w:rFonts w:ascii="Arial" w:hAnsi="Arial" w:cs="Arial"/>
          <w:sz w:val="24"/>
          <w:szCs w:val="24"/>
        </w:rPr>
        <w:t xml:space="preserve"> preclara: “(…) </w:t>
      </w:r>
      <w:r w:rsidRPr="005E63BC">
        <w:rPr>
          <w:rFonts w:ascii="Arial" w:hAnsi="Arial" w:cs="Arial"/>
          <w:i/>
          <w:sz w:val="24"/>
          <w:szCs w:val="24"/>
          <w:u w:val="single"/>
        </w:rPr>
        <w:t>Los derechos de los niños prevalecen sobre los derechos de los demás</w:t>
      </w:r>
      <w:r w:rsidRPr="00D92DBE">
        <w:rPr>
          <w:rFonts w:ascii="Arial" w:hAnsi="Arial" w:cs="Arial"/>
          <w:i/>
          <w:sz w:val="24"/>
          <w:szCs w:val="24"/>
        </w:rPr>
        <w:t>”.</w:t>
      </w:r>
      <w:r w:rsidRPr="00D92DBE">
        <w:rPr>
          <w:rFonts w:ascii="Arial" w:hAnsi="Arial" w:cs="Arial"/>
          <w:sz w:val="24"/>
          <w:szCs w:val="24"/>
        </w:rPr>
        <w:t xml:space="preserve"> </w:t>
      </w:r>
      <w:r w:rsidR="008B77B8">
        <w:rPr>
          <w:rFonts w:ascii="Arial" w:hAnsi="Arial" w:cs="Arial"/>
          <w:sz w:val="24"/>
          <w:szCs w:val="24"/>
        </w:rPr>
        <w:t xml:space="preserve"> </w:t>
      </w:r>
      <w:r w:rsidR="008B77B8">
        <w:rPr>
          <w:rFonts w:ascii="Arial" w:hAnsi="Arial" w:cs="Arial"/>
          <w:sz w:val="24"/>
          <w:szCs w:val="24"/>
          <w:lang w:val="es-ES_tradnl"/>
        </w:rPr>
        <w:t>(Subrayado fuera del texto original).</w:t>
      </w:r>
    </w:p>
    <w:p w14:paraId="3140959F" w14:textId="77777777" w:rsidR="00D92DBE" w:rsidRPr="00D92DBE" w:rsidRDefault="00D92DBE" w:rsidP="00D92DBE">
      <w:pPr>
        <w:shd w:val="clear" w:color="auto" w:fill="FFFFFF"/>
        <w:spacing w:line="360" w:lineRule="auto"/>
        <w:jc w:val="both"/>
        <w:rPr>
          <w:rFonts w:ascii="Arial" w:hAnsi="Arial" w:cs="Arial"/>
          <w:sz w:val="24"/>
          <w:szCs w:val="24"/>
        </w:rPr>
      </w:pPr>
      <w:r w:rsidRPr="00D92DBE">
        <w:rPr>
          <w:rFonts w:ascii="Arial" w:hAnsi="Arial" w:cs="Arial"/>
          <w:sz w:val="24"/>
          <w:szCs w:val="24"/>
        </w:rPr>
        <w:t xml:space="preserve">Es decir, que en toda actuación estatal que busque preservar los derechos de las personas, hermenéuticamente deben priorizarse los derechos de la niñez. De igual forma señala ese mismo artículo que “(…) </w:t>
      </w:r>
      <w:r w:rsidRPr="00D92DBE">
        <w:rPr>
          <w:rFonts w:ascii="Arial" w:hAnsi="Arial" w:cs="Arial"/>
          <w:i/>
          <w:sz w:val="24"/>
          <w:szCs w:val="24"/>
        </w:rPr>
        <w:t>el Estado al igual</w:t>
      </w:r>
      <w:r>
        <w:rPr>
          <w:rFonts w:ascii="Arial" w:hAnsi="Arial" w:cs="Arial"/>
          <w:i/>
          <w:sz w:val="24"/>
          <w:szCs w:val="24"/>
        </w:rPr>
        <w:t xml:space="preserve"> que la familia y la sociedad </w:t>
      </w:r>
      <w:r w:rsidRPr="00D92DBE">
        <w:rPr>
          <w:rFonts w:ascii="Arial" w:hAnsi="Arial" w:cs="Arial"/>
          <w:i/>
          <w:sz w:val="24"/>
          <w:szCs w:val="24"/>
        </w:rPr>
        <w:t>tienen la obligación de asistir y proteger al niño para garantizar su desarrollo armónico e integral y el ejercicio pleno de sus derechos</w:t>
      </w:r>
      <w:r w:rsidRPr="00D92DBE">
        <w:rPr>
          <w:rFonts w:ascii="Arial" w:hAnsi="Arial" w:cs="Arial"/>
          <w:sz w:val="24"/>
          <w:szCs w:val="24"/>
        </w:rPr>
        <w:t>”.</w:t>
      </w:r>
    </w:p>
    <w:p w14:paraId="15B8B79A" w14:textId="77777777" w:rsidR="005E63BC" w:rsidRDefault="00D92DBE" w:rsidP="005E63BC">
      <w:pPr>
        <w:shd w:val="clear" w:color="auto" w:fill="FFFFFF"/>
        <w:spacing w:line="360" w:lineRule="auto"/>
        <w:jc w:val="both"/>
        <w:rPr>
          <w:rFonts w:ascii="Arial" w:hAnsi="Arial" w:cs="Arial"/>
          <w:sz w:val="24"/>
          <w:szCs w:val="24"/>
        </w:rPr>
      </w:pPr>
      <w:r w:rsidRPr="00D92DBE">
        <w:rPr>
          <w:rFonts w:ascii="Arial" w:hAnsi="Arial" w:cs="Arial"/>
          <w:sz w:val="24"/>
          <w:szCs w:val="24"/>
        </w:rPr>
        <w:t>Esos tratados internacionales sobre derechos humanos de la niñez y el texto d</w:t>
      </w:r>
      <w:r w:rsidR="005E63BC">
        <w:rPr>
          <w:rFonts w:ascii="Arial" w:hAnsi="Arial" w:cs="Arial"/>
          <w:sz w:val="24"/>
          <w:szCs w:val="24"/>
        </w:rPr>
        <w:t>el artículo 44 constitucional conforman</w:t>
      </w:r>
      <w:r w:rsidRPr="00D92DBE">
        <w:rPr>
          <w:rFonts w:ascii="Arial" w:hAnsi="Arial" w:cs="Arial"/>
          <w:sz w:val="24"/>
          <w:szCs w:val="24"/>
        </w:rPr>
        <w:t xml:space="preserve"> el llamado </w:t>
      </w:r>
      <w:r w:rsidR="005E63BC">
        <w:rPr>
          <w:rFonts w:ascii="Arial" w:hAnsi="Arial" w:cs="Arial"/>
          <w:sz w:val="24"/>
          <w:szCs w:val="24"/>
        </w:rPr>
        <w:t>“</w:t>
      </w:r>
      <w:r w:rsidRPr="00D92DBE">
        <w:rPr>
          <w:rFonts w:ascii="Arial" w:hAnsi="Arial" w:cs="Arial"/>
          <w:sz w:val="24"/>
          <w:szCs w:val="24"/>
        </w:rPr>
        <w:t>Bloque de Constitucionalidad</w:t>
      </w:r>
      <w:r w:rsidR="005E63BC">
        <w:rPr>
          <w:rFonts w:ascii="Arial" w:hAnsi="Arial" w:cs="Arial"/>
          <w:sz w:val="24"/>
          <w:szCs w:val="24"/>
        </w:rPr>
        <w:t>”</w:t>
      </w:r>
      <w:r w:rsidRPr="00D92DBE">
        <w:rPr>
          <w:rFonts w:ascii="Arial" w:hAnsi="Arial" w:cs="Arial"/>
          <w:sz w:val="24"/>
          <w:szCs w:val="24"/>
        </w:rPr>
        <w:t>, concepto que puede entenderse en sentido amplio de acuerdo a Hernán Olano García (2005) cuando cita al respecto la sentencia de la Corte Constitucional C-708 de 1999: “</w:t>
      </w:r>
      <w:r w:rsidRPr="00D92DBE">
        <w:rPr>
          <w:rFonts w:ascii="Arial" w:hAnsi="Arial" w:cs="Arial"/>
          <w:i/>
          <w:sz w:val="24"/>
          <w:szCs w:val="24"/>
        </w:rPr>
        <w:t>el bloque de constitucionalidad estaría conformado no sólo por el articulado de la Constitución sino, entre otros, por los tratados internacionales de que trata el artículo 93 de la Carta, por las leyes orgánicas y, en algunas ocasiones, por las leyes estatutarias</w:t>
      </w:r>
      <w:r w:rsidRPr="00D92DBE">
        <w:rPr>
          <w:rFonts w:ascii="Arial" w:hAnsi="Arial" w:cs="Arial"/>
          <w:sz w:val="24"/>
          <w:szCs w:val="24"/>
        </w:rPr>
        <w:t>”. Ese bloque de constitucionalidad comprende el sistema de normas de mayor jerarquía e importancia que los operadores jurídico</w:t>
      </w:r>
      <w:r w:rsidR="005E63BC">
        <w:rPr>
          <w:rFonts w:ascii="Arial" w:hAnsi="Arial" w:cs="Arial"/>
          <w:sz w:val="24"/>
          <w:szCs w:val="24"/>
        </w:rPr>
        <w:t>s</w:t>
      </w:r>
      <w:r w:rsidRPr="00D92DBE">
        <w:rPr>
          <w:rFonts w:ascii="Arial" w:hAnsi="Arial" w:cs="Arial"/>
          <w:sz w:val="24"/>
          <w:szCs w:val="24"/>
        </w:rPr>
        <w:t xml:space="preserve"> y por ende el </w:t>
      </w:r>
      <w:r w:rsidR="005E63BC">
        <w:rPr>
          <w:rFonts w:ascii="Arial" w:hAnsi="Arial" w:cs="Arial"/>
          <w:sz w:val="24"/>
          <w:szCs w:val="24"/>
        </w:rPr>
        <w:t>servidor</w:t>
      </w:r>
      <w:r w:rsidRPr="00D92DBE">
        <w:rPr>
          <w:rFonts w:ascii="Arial" w:hAnsi="Arial" w:cs="Arial"/>
          <w:sz w:val="24"/>
          <w:szCs w:val="24"/>
        </w:rPr>
        <w:t xml:space="preserve"> público debe aplicar siempre en</w:t>
      </w:r>
      <w:r w:rsidR="005E63BC">
        <w:rPr>
          <w:rFonts w:ascii="Arial" w:hAnsi="Arial" w:cs="Arial"/>
          <w:sz w:val="24"/>
          <w:szCs w:val="24"/>
        </w:rPr>
        <w:t xml:space="preserve"> el cumplimiento de los fines Estatales.</w:t>
      </w:r>
    </w:p>
    <w:p w14:paraId="6A684351" w14:textId="77777777" w:rsidR="005E63BC" w:rsidRDefault="005E63BC" w:rsidP="005E63BC">
      <w:pPr>
        <w:shd w:val="clear" w:color="auto" w:fill="FFFFFF"/>
        <w:spacing w:line="360" w:lineRule="auto"/>
        <w:jc w:val="both"/>
        <w:rPr>
          <w:rFonts w:ascii="Arial" w:hAnsi="Arial" w:cs="Arial"/>
          <w:sz w:val="24"/>
          <w:szCs w:val="24"/>
        </w:rPr>
      </w:pPr>
      <w:r>
        <w:rPr>
          <w:rFonts w:ascii="Arial" w:hAnsi="Arial" w:cs="Arial"/>
          <w:sz w:val="24"/>
          <w:szCs w:val="24"/>
        </w:rPr>
        <w:t xml:space="preserve">En el rango legal, la ley 1098 de 2006 “Código de Infancia y Adolescencia” desarrolló lo estipulado en el artículo 44 de la Constitución Política en tres aspectos fundamentales: La prevalencia de los derechos, el interes superior y la regla de interpretación más favorable a los menores de edad. </w:t>
      </w:r>
    </w:p>
    <w:p w14:paraId="3CEB795B" w14:textId="77777777" w:rsidR="005E63BC" w:rsidRPr="005E63BC" w:rsidRDefault="005E63BC" w:rsidP="005E63BC">
      <w:pPr>
        <w:shd w:val="clear" w:color="auto" w:fill="FFFFFF"/>
        <w:spacing w:line="360" w:lineRule="auto"/>
        <w:jc w:val="both"/>
        <w:rPr>
          <w:rFonts w:ascii="Arial" w:hAnsi="Arial" w:cs="Arial"/>
          <w:sz w:val="24"/>
          <w:szCs w:val="24"/>
        </w:rPr>
      </w:pPr>
      <w:r>
        <w:rPr>
          <w:rFonts w:ascii="Arial" w:hAnsi="Arial" w:cs="Arial"/>
          <w:sz w:val="24"/>
          <w:szCs w:val="24"/>
        </w:rPr>
        <w:t xml:space="preserve"> Así, en su artículo 8º definió lo que se entiende por interes superior del niño, niña y adolescente como: “</w:t>
      </w:r>
      <w:r w:rsidRPr="005E63BC">
        <w:rPr>
          <w:rFonts w:ascii="Arial" w:hAnsi="Arial" w:cs="Arial"/>
          <w:i/>
          <w:sz w:val="24"/>
          <w:szCs w:val="24"/>
          <w:lang w:val="es-ES_tradnl"/>
        </w:rPr>
        <w:t>el imperativo que obliga a todas las personas a garantizar la satisfacción integral y simultánea de todos sus Derechos Humanos, que son universales, prevalentes e interdependientes</w:t>
      </w:r>
      <w:r>
        <w:rPr>
          <w:rFonts w:ascii="Arial" w:hAnsi="Arial" w:cs="Arial"/>
          <w:sz w:val="24"/>
          <w:szCs w:val="24"/>
          <w:lang w:val="es-ES_tradnl"/>
        </w:rPr>
        <w:t>”</w:t>
      </w:r>
      <w:r w:rsidRPr="005E63BC">
        <w:rPr>
          <w:rFonts w:ascii="Arial" w:hAnsi="Arial" w:cs="Arial"/>
          <w:sz w:val="24"/>
          <w:szCs w:val="24"/>
          <w:lang w:val="es-ES_tradnl"/>
        </w:rPr>
        <w:t>.</w:t>
      </w:r>
    </w:p>
    <w:p w14:paraId="309B665C" w14:textId="77777777" w:rsidR="005E63BC" w:rsidRPr="005E63BC" w:rsidRDefault="005E63BC" w:rsidP="005E63BC">
      <w:pPr>
        <w:shd w:val="clear" w:color="auto" w:fill="FFFFFF"/>
        <w:spacing w:line="360" w:lineRule="auto"/>
        <w:jc w:val="both"/>
        <w:rPr>
          <w:rFonts w:ascii="Arial" w:hAnsi="Arial" w:cs="Arial"/>
          <w:i/>
          <w:sz w:val="24"/>
          <w:szCs w:val="24"/>
          <w:lang w:val="es-ES_tradnl"/>
        </w:rPr>
      </w:pPr>
      <w:r>
        <w:rPr>
          <w:rFonts w:ascii="Arial" w:hAnsi="Arial" w:cs="Arial"/>
          <w:sz w:val="24"/>
          <w:szCs w:val="24"/>
        </w:rPr>
        <w:t xml:space="preserve"> Posteriormente, ese estableció lo siguiente en cuanto a a la prevalencia de los derechos de los niños: “</w:t>
      </w:r>
      <w:r w:rsidRPr="005E63BC">
        <w:rPr>
          <w:rFonts w:ascii="Arial" w:hAnsi="Arial" w:cs="Arial"/>
          <w:i/>
          <w:sz w:val="24"/>
          <w:szCs w:val="24"/>
          <w:u w:val="single"/>
          <w:lang w:val="es-ES_tradnl"/>
        </w:rPr>
        <w:t>En todo acto, decisión o medida administrativa, judicial o de cualquier naturaleza</w:t>
      </w:r>
      <w:r w:rsidRPr="005E63BC">
        <w:rPr>
          <w:rFonts w:ascii="Arial" w:hAnsi="Arial" w:cs="Arial"/>
          <w:i/>
          <w:sz w:val="24"/>
          <w:szCs w:val="24"/>
          <w:lang w:val="es-ES_tradnl"/>
        </w:rPr>
        <w:t xml:space="preserve"> que deba adoptarse en relación con los niños, las niñas y los adolescentes, </w:t>
      </w:r>
      <w:r w:rsidRPr="005E63BC">
        <w:rPr>
          <w:rFonts w:ascii="Arial" w:hAnsi="Arial" w:cs="Arial"/>
          <w:i/>
          <w:sz w:val="24"/>
          <w:szCs w:val="24"/>
          <w:u w:val="single"/>
          <w:lang w:val="es-ES_tradnl"/>
        </w:rPr>
        <w:t>prevalecerán los derechos de estos</w:t>
      </w:r>
      <w:r w:rsidRPr="005E63BC">
        <w:rPr>
          <w:rFonts w:ascii="Arial" w:hAnsi="Arial" w:cs="Arial"/>
          <w:i/>
          <w:sz w:val="24"/>
          <w:szCs w:val="24"/>
          <w:lang w:val="es-ES_tradnl"/>
        </w:rPr>
        <w:t>, en especial si existe conflicto entre sus derechos fundamentales con los de cualquier otra persona.</w:t>
      </w:r>
    </w:p>
    <w:p w14:paraId="54B2AA24" w14:textId="77777777" w:rsidR="005E63BC" w:rsidRDefault="005E63BC" w:rsidP="005E63BC">
      <w:pPr>
        <w:shd w:val="clear" w:color="auto" w:fill="FFFFFF"/>
        <w:spacing w:line="360" w:lineRule="auto"/>
        <w:jc w:val="both"/>
        <w:rPr>
          <w:rFonts w:ascii="Arial" w:hAnsi="Arial" w:cs="Arial"/>
          <w:sz w:val="24"/>
          <w:szCs w:val="24"/>
          <w:lang w:val="es-ES_tradnl"/>
        </w:rPr>
      </w:pPr>
      <w:r w:rsidRPr="005E63BC">
        <w:rPr>
          <w:rFonts w:ascii="Arial" w:hAnsi="Arial" w:cs="Arial"/>
          <w:i/>
          <w:sz w:val="24"/>
          <w:szCs w:val="24"/>
          <w:u w:val="single"/>
          <w:lang w:val="es-ES_tradnl"/>
        </w:rPr>
        <w:t>En caso de conflicto entre dos o más disposiciones legales, administrativas o disciplinarias, se aplicará la norma más favorable al interés superior del niño, niña o adolescente</w:t>
      </w:r>
      <w:r w:rsidRPr="005E63BC">
        <w:rPr>
          <w:rFonts w:ascii="Arial" w:hAnsi="Arial" w:cs="Arial"/>
          <w:i/>
          <w:sz w:val="24"/>
          <w:szCs w:val="24"/>
          <w:lang w:val="es-ES_tradnl"/>
        </w:rPr>
        <w:t>.</w:t>
      </w:r>
      <w:r>
        <w:rPr>
          <w:rFonts w:ascii="Arial" w:hAnsi="Arial" w:cs="Arial"/>
          <w:sz w:val="24"/>
          <w:szCs w:val="24"/>
          <w:lang w:val="es-ES_tradnl"/>
        </w:rPr>
        <w:t xml:space="preserve"> (Subrayado fuera del texto original).</w:t>
      </w:r>
    </w:p>
    <w:p w14:paraId="6536154C" w14:textId="498DAFEE" w:rsidR="005E63BC" w:rsidRPr="005E63BC" w:rsidRDefault="008B77B8" w:rsidP="005E63BC">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A su vez, el</w:t>
      </w:r>
      <w:r w:rsidR="005E63BC">
        <w:rPr>
          <w:rFonts w:ascii="Arial" w:hAnsi="Arial" w:cs="Arial"/>
          <w:sz w:val="24"/>
          <w:szCs w:val="24"/>
          <w:lang w:val="es-ES_tradnl"/>
        </w:rPr>
        <w:t xml:space="preserve"> artículo 6º estableció la regla hermenéutica según la cual, </w:t>
      </w:r>
      <w:r w:rsidR="005E63BC" w:rsidRPr="005E63BC">
        <w:rPr>
          <w:rFonts w:ascii="Arial" w:hAnsi="Arial" w:cs="Arial"/>
          <w:sz w:val="24"/>
          <w:szCs w:val="24"/>
          <w:lang w:val="es-ES_tradnl"/>
        </w:rPr>
        <w:t>se aplicará siempre la norma más favorable al interés superior del niño, niña o adolescente.</w:t>
      </w:r>
    </w:p>
    <w:p w14:paraId="57037511" w14:textId="19FC1C5D" w:rsidR="008B77B8" w:rsidRDefault="008B77B8" w:rsidP="005E63BC">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 xml:space="preserve">Por último, la H. Corte Constitucional como interprete y guarda de la Constitución fijó el alcance del interés superior de los niños como población vulnerable que deben tener una atención especial por parte del Estado: </w:t>
      </w:r>
    </w:p>
    <w:p w14:paraId="7E674FE0" w14:textId="3815BFDB" w:rsidR="008B77B8" w:rsidRDefault="008B77B8" w:rsidP="005E63BC">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 (…)</w:t>
      </w:r>
    </w:p>
    <w:p w14:paraId="762AECDD" w14:textId="77777777" w:rsidR="008B77B8" w:rsidRPr="008B77B8" w:rsidRDefault="008B77B8" w:rsidP="008B77B8">
      <w:pPr>
        <w:shd w:val="clear" w:color="auto" w:fill="FFFFFF"/>
        <w:spacing w:line="360" w:lineRule="auto"/>
        <w:jc w:val="both"/>
        <w:rPr>
          <w:rFonts w:ascii="Arial" w:hAnsi="Arial" w:cs="Arial"/>
          <w:i/>
          <w:sz w:val="24"/>
          <w:szCs w:val="24"/>
          <w:lang w:val="es-ES_tradnl"/>
        </w:rPr>
      </w:pPr>
      <w:r w:rsidRPr="008B77B8">
        <w:rPr>
          <w:rFonts w:ascii="Arial" w:hAnsi="Arial" w:cs="Arial"/>
          <w:i/>
          <w:sz w:val="24"/>
          <w:szCs w:val="24"/>
          <w:lang w:val="es-ES_tradnl"/>
        </w:rPr>
        <w:t xml:space="preserve">Son considerados como grupo destinatario de una atención especial estatal </w:t>
      </w:r>
      <w:r w:rsidRPr="008B77B8">
        <w:rPr>
          <w:rFonts w:ascii="Arial" w:hAnsi="Arial" w:cs="Arial"/>
          <w:i/>
          <w:sz w:val="24"/>
          <w:szCs w:val="24"/>
          <w:u w:val="single"/>
          <w:lang w:val="es-ES_tradnl"/>
        </w:rPr>
        <w:t>que se traduce en un tratamiento jurídico proteccionista</w:t>
      </w:r>
      <w:r w:rsidRPr="008B77B8">
        <w:rPr>
          <w:rFonts w:ascii="Arial" w:hAnsi="Arial" w:cs="Arial"/>
          <w:i/>
          <w:sz w:val="24"/>
          <w:szCs w:val="24"/>
          <w:lang w:val="es-ES_tradnl"/>
        </w:rPr>
        <w:t>, respecto de sus derechos y de las garantías previstas para alcanzar su efectividad. Así, logran identificarse como seres reales, autónomos y en proceso de evolución personal</w:t>
      </w:r>
      <w:r w:rsidRPr="008B77B8">
        <w:rPr>
          <w:rFonts w:ascii="Arial" w:hAnsi="Arial" w:cs="Arial"/>
          <w:i/>
          <w:sz w:val="24"/>
          <w:szCs w:val="24"/>
          <w:u w:val="single"/>
          <w:lang w:val="es-ES_tradnl"/>
        </w:rPr>
        <w:t>, titulares de un interés jurídico superior que irradia todo el ordenamiento jurídico</w:t>
      </w:r>
      <w:r w:rsidRPr="008B77B8">
        <w:rPr>
          <w:rFonts w:ascii="Arial" w:hAnsi="Arial" w:cs="Arial"/>
          <w:i/>
          <w:sz w:val="24"/>
          <w:szCs w:val="24"/>
          <w:lang w:val="es-ES_tradnl"/>
        </w:rPr>
        <w:t xml:space="preserve"> y que, en términos muy generales, consiste en lo siguiente:</w:t>
      </w:r>
    </w:p>
    <w:p w14:paraId="218E6FEC" w14:textId="7E132094" w:rsidR="001E2954" w:rsidRDefault="008B77B8" w:rsidP="008B77B8">
      <w:pPr>
        <w:shd w:val="clear" w:color="auto" w:fill="FFFFFF"/>
        <w:spacing w:line="360" w:lineRule="auto"/>
        <w:jc w:val="both"/>
        <w:rPr>
          <w:rFonts w:ascii="Arial" w:hAnsi="Arial" w:cs="Arial"/>
          <w:sz w:val="24"/>
          <w:szCs w:val="24"/>
          <w:lang w:val="es-ES_tradnl"/>
        </w:rPr>
      </w:pPr>
      <w:r w:rsidRPr="008B77B8">
        <w:rPr>
          <w:rFonts w:ascii="Arial" w:hAnsi="Arial" w:cs="Arial"/>
          <w:i/>
          <w:sz w:val="24"/>
          <w:szCs w:val="24"/>
          <w:lang w:val="es-ES_tradnl"/>
        </w:rPr>
        <w:t xml:space="preserve">'(...) se trata de un principio de naturaleza constitucional que </w:t>
      </w:r>
      <w:r w:rsidRPr="008B77B8">
        <w:rPr>
          <w:rFonts w:ascii="Arial" w:hAnsi="Arial" w:cs="Arial"/>
          <w:i/>
          <w:sz w:val="24"/>
          <w:szCs w:val="24"/>
          <w:u w:val="single"/>
          <w:lang w:val="es-ES_tradnl"/>
        </w:rPr>
        <w:t>reconoce a los menores con una caracterización jurídica específica fundada en sus derechos prevalentes y en darles un trato equivalente a esa prelación</w:t>
      </w:r>
      <w:r w:rsidRPr="008B77B8">
        <w:rPr>
          <w:rFonts w:ascii="Arial" w:hAnsi="Arial" w:cs="Arial"/>
          <w:i/>
          <w:sz w:val="24"/>
          <w:szCs w:val="24"/>
          <w:lang w:val="es-ES_tradnl"/>
        </w:rPr>
        <w:t>, en cuya virtud se los proteja de manera especial, se los defienda ante abusos y se les garantice el desarrollo normal y sano por los aspectos físico, sicológico, intelectual y moral, no menos que la correcta evolución de su personalidad</w:t>
      </w:r>
      <w:r>
        <w:rPr>
          <w:rFonts w:ascii="Arial" w:hAnsi="Arial" w:cs="Arial"/>
          <w:i/>
          <w:sz w:val="24"/>
          <w:szCs w:val="24"/>
          <w:lang w:val="es-ES_tradnl"/>
        </w:rPr>
        <w:t xml:space="preserve">” </w:t>
      </w:r>
      <w:r w:rsidRPr="008B77B8">
        <w:rPr>
          <w:rFonts w:ascii="Arial" w:hAnsi="Arial" w:cs="Arial"/>
          <w:sz w:val="24"/>
          <w:szCs w:val="24"/>
          <w:lang w:val="es-ES_tradnl"/>
        </w:rPr>
        <w:t xml:space="preserve"> (Cfr. sentencias T-408 del 14 de septiembre de 1995 y T-514 del 21 de septiembre de 1998).</w:t>
      </w:r>
      <w:r>
        <w:rPr>
          <w:rFonts w:ascii="Arial" w:hAnsi="Arial" w:cs="Arial"/>
          <w:sz w:val="24"/>
          <w:szCs w:val="24"/>
          <w:lang w:val="es-ES_tradnl"/>
        </w:rPr>
        <w:t xml:space="preserve"> (Subrayado fuera del texto original).</w:t>
      </w:r>
    </w:p>
    <w:p w14:paraId="72E8EB65" w14:textId="00F8187C" w:rsidR="008B77B8" w:rsidRDefault="008B77B8" w:rsidP="008B77B8">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 xml:space="preserve">Posteriormente, concluyó la Corte al analizar el interés superior del menor en la sentencia C- 738 de 2008 “ (…)  </w:t>
      </w:r>
      <w:r w:rsidRPr="008B77B8">
        <w:rPr>
          <w:rFonts w:ascii="Arial" w:hAnsi="Arial" w:cs="Arial"/>
          <w:i/>
          <w:sz w:val="24"/>
          <w:szCs w:val="24"/>
          <w:lang w:val="es-ES_tradnl"/>
        </w:rPr>
        <w:t xml:space="preserve">Estas consideraciones hacen concluir que en el panorama jurídico colombiano </w:t>
      </w:r>
      <w:r w:rsidRPr="008B77B8">
        <w:rPr>
          <w:rFonts w:ascii="Arial" w:hAnsi="Arial" w:cs="Arial"/>
          <w:i/>
          <w:sz w:val="24"/>
          <w:szCs w:val="24"/>
          <w:u w:val="single"/>
          <w:lang w:val="es-ES_tradnl"/>
        </w:rPr>
        <w:t>los niños merecen un trato especialmente protector</w:t>
      </w:r>
      <w:r w:rsidRPr="008B77B8">
        <w:rPr>
          <w:rFonts w:ascii="Arial" w:hAnsi="Arial" w:cs="Arial"/>
          <w:i/>
          <w:sz w:val="24"/>
          <w:szCs w:val="24"/>
          <w:lang w:val="es-ES_tradnl"/>
        </w:rPr>
        <w:t xml:space="preserve">, que </w:t>
      </w:r>
      <w:r w:rsidRPr="008B77B8">
        <w:rPr>
          <w:rFonts w:ascii="Arial" w:hAnsi="Arial" w:cs="Arial"/>
          <w:i/>
          <w:sz w:val="24"/>
          <w:szCs w:val="24"/>
          <w:u w:val="single"/>
          <w:lang w:val="es-ES_tradnl"/>
        </w:rPr>
        <w:t>debe reflejarse en todos los aspectos de la legislación</w:t>
      </w:r>
      <w:r w:rsidRPr="008B77B8">
        <w:rPr>
          <w:rFonts w:ascii="Arial" w:hAnsi="Arial" w:cs="Arial"/>
          <w:i/>
          <w:sz w:val="24"/>
          <w:szCs w:val="24"/>
          <w:lang w:val="es-ES_tradnl"/>
        </w:rPr>
        <w:t xml:space="preserve">, cuando quiera que el Estado identifique puntos de posible vulnerabilidad. Esta necesidad de considerar, en todos los aspectos de la realidad jurídica, que el derecho del menor tiene prevalencia sobre los demás, se conoce como el principio de interés superior del menor y </w:t>
      </w:r>
      <w:r w:rsidRPr="008B77B8">
        <w:rPr>
          <w:rFonts w:ascii="Arial" w:hAnsi="Arial" w:cs="Arial"/>
          <w:i/>
          <w:sz w:val="24"/>
          <w:szCs w:val="24"/>
          <w:u w:val="single"/>
          <w:lang w:val="es-ES_tradnl"/>
        </w:rPr>
        <w:t>constituye principio de interpretación de las normas y decisiones de autoridades que pueden afectar los intereses del niño</w:t>
      </w:r>
      <w:r>
        <w:rPr>
          <w:rFonts w:ascii="Arial" w:hAnsi="Arial" w:cs="Arial"/>
          <w:i/>
          <w:sz w:val="24"/>
          <w:szCs w:val="24"/>
          <w:lang w:val="es-ES_tradnl"/>
        </w:rPr>
        <w:t>”.</w:t>
      </w:r>
      <w:r w:rsidR="00B56F0B">
        <w:rPr>
          <w:rFonts w:ascii="Arial" w:hAnsi="Arial" w:cs="Arial"/>
          <w:i/>
          <w:sz w:val="24"/>
          <w:szCs w:val="24"/>
          <w:lang w:val="es-ES_tradnl"/>
        </w:rPr>
        <w:t xml:space="preserve"> </w:t>
      </w:r>
      <w:r w:rsidR="00B56F0B">
        <w:rPr>
          <w:rFonts w:ascii="Arial" w:hAnsi="Arial" w:cs="Arial"/>
          <w:sz w:val="24"/>
          <w:szCs w:val="24"/>
          <w:lang w:val="es-ES_tradnl"/>
        </w:rPr>
        <w:t>(Subrayado fuera del texto original).</w:t>
      </w:r>
    </w:p>
    <w:p w14:paraId="48D00C23" w14:textId="5E73C7A9" w:rsidR="00B56F0B" w:rsidRPr="00B56F0B" w:rsidRDefault="00B56F0B" w:rsidP="008B77B8">
      <w:pPr>
        <w:shd w:val="clear" w:color="auto" w:fill="FFFFFF"/>
        <w:spacing w:line="360" w:lineRule="auto"/>
        <w:jc w:val="both"/>
        <w:rPr>
          <w:rFonts w:ascii="Arial" w:hAnsi="Arial" w:cs="Arial"/>
          <w:b/>
          <w:sz w:val="24"/>
          <w:szCs w:val="24"/>
          <w:lang w:val="es-ES_tradnl"/>
        </w:rPr>
      </w:pPr>
      <w:r>
        <w:rPr>
          <w:rFonts w:ascii="Arial" w:hAnsi="Arial" w:cs="Arial"/>
          <w:sz w:val="24"/>
          <w:szCs w:val="24"/>
          <w:lang w:val="es-ES_tradnl"/>
        </w:rPr>
        <w:t xml:space="preserve">De lo anterior se infiere, que la interpretación de la Corte sobre el interés superior se encamina a establecer que los niños, niñas y adolescentes como población vulnerable deben ser sujetos de especial protección de forma transversal en </w:t>
      </w:r>
      <w:r w:rsidRPr="00B56F0B">
        <w:rPr>
          <w:rFonts w:ascii="Arial" w:hAnsi="Arial" w:cs="Arial"/>
          <w:b/>
          <w:sz w:val="24"/>
          <w:szCs w:val="24"/>
          <w:lang w:val="es-ES_tradnl"/>
        </w:rPr>
        <w:t>todo el andamiaje normativo.</w:t>
      </w:r>
    </w:p>
    <w:p w14:paraId="26583A6C" w14:textId="1DC19E60" w:rsidR="008B77B8" w:rsidRPr="00B56F0B" w:rsidRDefault="00B56F0B" w:rsidP="008B77B8">
      <w:pPr>
        <w:shd w:val="clear" w:color="auto" w:fill="FFFFFF"/>
        <w:spacing w:line="360" w:lineRule="auto"/>
        <w:jc w:val="both"/>
        <w:rPr>
          <w:rFonts w:ascii="Arial" w:hAnsi="Arial" w:cs="Arial"/>
          <w:iCs/>
          <w:sz w:val="24"/>
          <w:szCs w:val="24"/>
          <w:lang w:val="es-ES_tradnl"/>
        </w:rPr>
      </w:pPr>
      <w:r>
        <w:rPr>
          <w:rFonts w:ascii="Arial" w:hAnsi="Arial" w:cs="Arial"/>
          <w:iCs/>
          <w:sz w:val="24"/>
          <w:szCs w:val="24"/>
          <w:lang w:val="es-ES_tradnl"/>
        </w:rPr>
        <w:t>Ahora bien, del interés superior del menor se desprende el “</w:t>
      </w:r>
      <w:r w:rsidRPr="00B56F0B">
        <w:rPr>
          <w:rFonts w:ascii="Arial" w:hAnsi="Arial" w:cs="Arial"/>
          <w:b/>
          <w:iCs/>
          <w:sz w:val="24"/>
          <w:szCs w:val="24"/>
          <w:lang w:val="es-ES_tradnl"/>
        </w:rPr>
        <w:t>principio pro infants</w:t>
      </w:r>
      <w:r>
        <w:rPr>
          <w:rFonts w:ascii="Arial" w:hAnsi="Arial" w:cs="Arial"/>
          <w:iCs/>
          <w:sz w:val="24"/>
          <w:szCs w:val="24"/>
          <w:lang w:val="es-ES_tradnl"/>
        </w:rPr>
        <w:t>”, que establece “</w:t>
      </w:r>
      <w:r w:rsidRPr="00B56F0B">
        <w:rPr>
          <w:rFonts w:ascii="Arial" w:hAnsi="Arial" w:cs="Arial"/>
          <w:i/>
          <w:iCs/>
          <w:sz w:val="24"/>
          <w:szCs w:val="24"/>
          <w:lang w:val="es-ES_tradnl"/>
        </w:rPr>
        <w:t>la obligación de aplicar las distintas disposiciones del ordenamiento jurídico en consonancia con la protección del interés superior del niño</w:t>
      </w:r>
      <w:r>
        <w:rPr>
          <w:rFonts w:ascii="Arial" w:hAnsi="Arial" w:cs="Arial"/>
          <w:iCs/>
          <w:sz w:val="24"/>
          <w:szCs w:val="24"/>
          <w:lang w:val="es-ES_tradnl"/>
        </w:rPr>
        <w:t xml:space="preserve">”. Así lo reconoció la H. Corte Constitucional cuando dijo: “ (…) </w:t>
      </w:r>
      <w:r w:rsidR="008B77B8" w:rsidRPr="008B77B8">
        <w:rPr>
          <w:rFonts w:ascii="Arial" w:hAnsi="Arial" w:cs="Arial"/>
          <w:i/>
          <w:iCs/>
          <w:sz w:val="24"/>
          <w:szCs w:val="24"/>
          <w:lang w:val="es-ES_tradnl"/>
        </w:rPr>
        <w:t xml:space="preserve">no sólo en el ámbito nacional, sino también en el internacional se ha dado cabida, atendiendo ese interés superior del menor ampliamente reconocido, al denominado principio pro infans, acentuado por la jurisprudencia de esta corporación al considerarlo </w:t>
      </w:r>
      <w:r w:rsidR="008B77B8" w:rsidRPr="00B56F0B">
        <w:rPr>
          <w:rFonts w:ascii="Arial" w:hAnsi="Arial" w:cs="Arial"/>
          <w:i/>
          <w:iCs/>
          <w:sz w:val="24"/>
          <w:szCs w:val="24"/>
          <w:u w:val="single"/>
          <w:lang w:val="es-ES_tradnl"/>
        </w:rPr>
        <w:t>un instrumento jurídico valioso para la ponderación de derechos de rango constitucional, frente a eventuales tensiones, debiendo escogerse la interpretación que brinde la mayor protección a los derechos de los niños, las niñas y los adolescentes</w:t>
      </w:r>
      <w:r w:rsidR="008B77B8">
        <w:rPr>
          <w:rFonts w:ascii="Arial" w:hAnsi="Arial" w:cs="Arial"/>
          <w:i/>
          <w:iCs/>
          <w:sz w:val="24"/>
          <w:szCs w:val="24"/>
          <w:lang w:val="es-ES_tradnl"/>
        </w:rPr>
        <w:t xml:space="preserve"> </w:t>
      </w:r>
      <w:r>
        <w:rPr>
          <w:rFonts w:ascii="Arial" w:hAnsi="Arial" w:cs="Arial"/>
          <w:iCs/>
          <w:sz w:val="24"/>
          <w:szCs w:val="24"/>
          <w:lang w:val="es-ES_tradnl"/>
        </w:rPr>
        <w:t xml:space="preserve">(Corte Constitucional </w:t>
      </w:r>
      <w:r>
        <w:rPr>
          <w:rFonts w:ascii="Arial" w:hAnsi="Arial" w:cs="Arial"/>
          <w:i/>
          <w:iCs/>
          <w:sz w:val="24"/>
          <w:szCs w:val="24"/>
          <w:lang w:val="es-ES_tradnl"/>
        </w:rPr>
        <w:t>Sentencia</w:t>
      </w:r>
      <w:r w:rsidR="008B77B8" w:rsidRPr="008B77B8">
        <w:rPr>
          <w:rFonts w:ascii="Arial" w:hAnsi="Arial" w:cs="Arial"/>
          <w:i/>
          <w:iCs/>
          <w:sz w:val="24"/>
          <w:szCs w:val="24"/>
          <w:lang w:val="es-ES_tradnl"/>
        </w:rPr>
        <w:t xml:space="preserve"> T-117 de 2013</w:t>
      </w:r>
      <w:r>
        <w:rPr>
          <w:rFonts w:ascii="Arial" w:hAnsi="Arial" w:cs="Arial"/>
          <w:iCs/>
          <w:sz w:val="24"/>
          <w:szCs w:val="24"/>
          <w:lang w:val="es-ES_tradnl"/>
        </w:rPr>
        <w:t>). (Subrayado fuera del texto original).</w:t>
      </w:r>
    </w:p>
    <w:p w14:paraId="7395D45A" w14:textId="77777777" w:rsidR="00B56F0B" w:rsidRDefault="00B56F0B" w:rsidP="008B77B8">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Por todo lo anterior, como quedó</w:t>
      </w:r>
      <w:r w:rsidRPr="00B56F0B">
        <w:rPr>
          <w:rFonts w:ascii="Arial" w:hAnsi="Arial" w:cs="Arial"/>
          <w:sz w:val="24"/>
          <w:szCs w:val="24"/>
          <w:lang w:val="es-ES_tradnl"/>
        </w:rPr>
        <w:t xml:space="preserve"> </w:t>
      </w:r>
      <w:r>
        <w:rPr>
          <w:rFonts w:ascii="Arial" w:hAnsi="Arial" w:cs="Arial"/>
          <w:sz w:val="24"/>
          <w:szCs w:val="24"/>
          <w:lang w:val="es-ES_tradnl"/>
        </w:rPr>
        <w:t>casi tautológicamente expuesto, en aplicación del marco hermenéutico del</w:t>
      </w:r>
      <w:r w:rsidRPr="00B56F0B">
        <w:rPr>
          <w:rFonts w:ascii="Arial" w:hAnsi="Arial" w:cs="Arial"/>
          <w:sz w:val="24"/>
          <w:szCs w:val="24"/>
          <w:lang w:val="es-ES_tradnl"/>
        </w:rPr>
        <w:t xml:space="preserve"> interés superior del menor y </w:t>
      </w:r>
      <w:r>
        <w:rPr>
          <w:rFonts w:ascii="Arial" w:hAnsi="Arial" w:cs="Arial"/>
          <w:sz w:val="24"/>
          <w:szCs w:val="24"/>
          <w:lang w:val="es-ES_tradnl"/>
        </w:rPr>
        <w:t xml:space="preserve">en esa medida </w:t>
      </w:r>
      <w:r w:rsidRPr="00B56F0B">
        <w:rPr>
          <w:rFonts w:ascii="Arial" w:hAnsi="Arial" w:cs="Arial"/>
          <w:sz w:val="24"/>
          <w:szCs w:val="24"/>
          <w:lang w:val="es-ES_tradnl"/>
        </w:rPr>
        <w:t>del principio </w:t>
      </w:r>
      <w:r w:rsidRPr="00B56F0B">
        <w:rPr>
          <w:rFonts w:ascii="Arial" w:hAnsi="Arial" w:cs="Arial"/>
          <w:i/>
          <w:iCs/>
          <w:sz w:val="24"/>
          <w:szCs w:val="24"/>
          <w:lang w:val="es-ES_tradnl"/>
        </w:rPr>
        <w:t>pro infans</w:t>
      </w:r>
      <w:r w:rsidRPr="00B56F0B">
        <w:rPr>
          <w:rFonts w:ascii="Arial" w:hAnsi="Arial" w:cs="Arial"/>
          <w:sz w:val="24"/>
          <w:szCs w:val="24"/>
          <w:lang w:val="es-ES_tradnl"/>
        </w:rPr>
        <w:t>,</w:t>
      </w:r>
      <w:r>
        <w:rPr>
          <w:rFonts w:ascii="Arial" w:hAnsi="Arial" w:cs="Arial"/>
          <w:sz w:val="24"/>
          <w:szCs w:val="24"/>
          <w:lang w:val="es-ES_tradnl"/>
        </w:rPr>
        <w:t xml:space="preserve"> es dable afirmar que establecer medidas legislativas que establezcan un sistema de redención de pena diferenciado a los condenados por delitos sexuales, secuestro y tortura en donde las víctimas sean menores de 14 años de edad resulta razonable y ajustado a los tratados internacionales y al artículo</w:t>
      </w:r>
      <w:r w:rsidRPr="00B56F0B">
        <w:rPr>
          <w:rFonts w:ascii="Arial" w:hAnsi="Arial" w:cs="Arial"/>
          <w:sz w:val="24"/>
          <w:szCs w:val="24"/>
          <w:lang w:val="es-ES_tradnl"/>
        </w:rPr>
        <w:t xml:space="preserve"> 44 </w:t>
      </w:r>
      <w:r>
        <w:rPr>
          <w:rFonts w:ascii="Arial" w:hAnsi="Arial" w:cs="Arial"/>
          <w:sz w:val="24"/>
          <w:szCs w:val="24"/>
          <w:lang w:val="es-ES_tradnl"/>
        </w:rPr>
        <w:t>Superior.</w:t>
      </w:r>
    </w:p>
    <w:p w14:paraId="60A6E7AF" w14:textId="7F7EEB56" w:rsidR="008B77B8" w:rsidRDefault="00B56F0B" w:rsidP="008B77B8">
      <w:pPr>
        <w:shd w:val="clear" w:color="auto" w:fill="FFFFFF"/>
        <w:spacing w:line="360" w:lineRule="auto"/>
        <w:jc w:val="both"/>
        <w:rPr>
          <w:rFonts w:ascii="Arial" w:hAnsi="Arial" w:cs="Arial"/>
          <w:sz w:val="24"/>
          <w:szCs w:val="24"/>
          <w:lang w:val="es-ES_tradnl"/>
        </w:rPr>
      </w:pPr>
      <w:r>
        <w:rPr>
          <w:rFonts w:ascii="Arial" w:hAnsi="Arial" w:cs="Arial"/>
          <w:sz w:val="24"/>
          <w:szCs w:val="24"/>
          <w:lang w:val="es-ES_tradnl"/>
        </w:rPr>
        <w:t>Debe aclararse que este proyecto no quita el derecho a los condenados por esos delitos a redimir la pena y por ende al acceso a la resocialización sino que en ejercicio de la ponderación y de la prevalencia del interés superior del menor, se establece un sistema de redención diferenciado, más complejo, que prioriza los derechos de esos niños, niñas y adolescentes en su calidad de víctimas de esos delitos, como cumplimiento de los postulados de nuestro Estado Social de Derecho, eso si, con el debido respeto por el núcleo esencial de la dignidad humana como principio fundante.</w:t>
      </w:r>
    </w:p>
    <w:p w14:paraId="42ECA828" w14:textId="77777777" w:rsidR="00B56F0B" w:rsidRPr="008B77B8" w:rsidRDefault="00B56F0B" w:rsidP="008B77B8">
      <w:pPr>
        <w:shd w:val="clear" w:color="auto" w:fill="FFFFFF"/>
        <w:spacing w:line="360" w:lineRule="auto"/>
        <w:jc w:val="both"/>
        <w:rPr>
          <w:rFonts w:ascii="Arial" w:hAnsi="Arial" w:cs="Arial"/>
          <w:sz w:val="24"/>
          <w:szCs w:val="24"/>
          <w:lang w:val="es-ES_tradnl"/>
        </w:rPr>
      </w:pPr>
    </w:p>
    <w:p w14:paraId="7068791D" w14:textId="4C7DA2B6" w:rsidR="00B46DE9" w:rsidRDefault="00B46DE9" w:rsidP="00B46DE9">
      <w:pPr>
        <w:pStyle w:val="Prrafodelista"/>
        <w:numPr>
          <w:ilvl w:val="1"/>
          <w:numId w:val="1"/>
        </w:numPr>
        <w:spacing w:after="120" w:line="360" w:lineRule="auto"/>
        <w:jc w:val="both"/>
        <w:rPr>
          <w:rFonts w:ascii="Arial" w:hAnsi="Arial" w:cs="Arial"/>
          <w:b/>
          <w:sz w:val="24"/>
          <w:szCs w:val="24"/>
        </w:rPr>
      </w:pPr>
      <w:r>
        <w:rPr>
          <w:rFonts w:ascii="Arial" w:hAnsi="Arial" w:cs="Arial"/>
          <w:b/>
          <w:sz w:val="24"/>
          <w:szCs w:val="24"/>
        </w:rPr>
        <w:t xml:space="preserve">La sentencia T </w:t>
      </w:r>
      <w:r w:rsidR="008B77B8">
        <w:rPr>
          <w:rFonts w:ascii="Arial" w:hAnsi="Arial" w:cs="Arial"/>
          <w:b/>
          <w:sz w:val="24"/>
          <w:szCs w:val="24"/>
        </w:rPr>
        <w:t xml:space="preserve">– 718 de 2015 </w:t>
      </w:r>
      <w:r>
        <w:rPr>
          <w:rFonts w:ascii="Arial" w:hAnsi="Arial" w:cs="Arial"/>
          <w:b/>
          <w:sz w:val="24"/>
          <w:szCs w:val="24"/>
        </w:rPr>
        <w:t xml:space="preserve">de la H. Corte Constitucional </w:t>
      </w:r>
    </w:p>
    <w:p w14:paraId="46F8B7D8" w14:textId="77777777" w:rsidR="008B77B8" w:rsidRDefault="008B77B8" w:rsidP="008B77B8">
      <w:pPr>
        <w:pStyle w:val="Prrafodelista"/>
        <w:spacing w:after="120" w:line="360" w:lineRule="auto"/>
        <w:ind w:left="1120"/>
        <w:jc w:val="both"/>
        <w:rPr>
          <w:rFonts w:ascii="Arial" w:hAnsi="Arial" w:cs="Arial"/>
          <w:b/>
          <w:sz w:val="24"/>
          <w:szCs w:val="24"/>
        </w:rPr>
      </w:pPr>
    </w:p>
    <w:p w14:paraId="72FB3934" w14:textId="7605FFFA" w:rsidR="005E63BC" w:rsidRDefault="008B77B8" w:rsidP="005E63BC">
      <w:pPr>
        <w:spacing w:after="120" w:line="360" w:lineRule="auto"/>
        <w:jc w:val="both"/>
        <w:rPr>
          <w:rFonts w:ascii="Arial" w:hAnsi="Arial" w:cs="Arial"/>
          <w:sz w:val="24"/>
          <w:szCs w:val="24"/>
        </w:rPr>
      </w:pPr>
      <w:r>
        <w:rPr>
          <w:rFonts w:ascii="Arial" w:hAnsi="Arial" w:cs="Arial"/>
          <w:sz w:val="24"/>
          <w:szCs w:val="24"/>
        </w:rPr>
        <w:t xml:space="preserve">El Código de Infancia y Adolescencia en su artículo 199, numeral 8º establece: </w:t>
      </w:r>
    </w:p>
    <w:p w14:paraId="38791BCB" w14:textId="32A3099C" w:rsidR="008B77B8" w:rsidRDefault="008B77B8" w:rsidP="008B77B8">
      <w:pPr>
        <w:spacing w:after="120" w:line="360" w:lineRule="auto"/>
        <w:ind w:left="360"/>
        <w:jc w:val="both"/>
        <w:rPr>
          <w:rFonts w:ascii="Arial" w:hAnsi="Arial" w:cs="Arial"/>
          <w:i/>
          <w:sz w:val="24"/>
          <w:szCs w:val="24"/>
          <w:lang w:val="es-ES_tradnl"/>
        </w:rPr>
      </w:pPr>
      <w:bookmarkStart w:id="1" w:name="199"/>
      <w:r>
        <w:rPr>
          <w:rFonts w:ascii="Arial" w:hAnsi="Arial" w:cs="Arial"/>
          <w:b/>
          <w:bCs/>
          <w:i/>
          <w:sz w:val="24"/>
          <w:szCs w:val="24"/>
          <w:lang w:val="es-ES_tradnl"/>
        </w:rPr>
        <w:t>“</w:t>
      </w:r>
      <w:r w:rsidRPr="008B77B8">
        <w:rPr>
          <w:rFonts w:ascii="Arial" w:hAnsi="Arial" w:cs="Arial"/>
          <w:b/>
          <w:bCs/>
          <w:i/>
          <w:sz w:val="24"/>
          <w:szCs w:val="24"/>
          <w:lang w:val="es-ES_tradnl"/>
        </w:rPr>
        <w:t xml:space="preserve">ARTÍCULO 199. </w:t>
      </w:r>
      <w:r w:rsidRPr="008B77B8">
        <w:rPr>
          <w:rFonts w:ascii="Arial" w:hAnsi="Arial" w:cs="Arial"/>
          <w:b/>
          <w:bCs/>
          <w:i/>
          <w:sz w:val="24"/>
          <w:szCs w:val="24"/>
          <w:u w:val="single"/>
          <w:lang w:val="es-ES_tradnl"/>
        </w:rPr>
        <w:t>BENEFICIOS</w:t>
      </w:r>
      <w:r w:rsidRPr="008B77B8">
        <w:rPr>
          <w:rFonts w:ascii="Arial" w:hAnsi="Arial" w:cs="Arial"/>
          <w:b/>
          <w:bCs/>
          <w:i/>
          <w:sz w:val="24"/>
          <w:szCs w:val="24"/>
          <w:lang w:val="es-ES_tradnl"/>
        </w:rPr>
        <w:t xml:space="preserve"> Y MECANISMOS SUSTITUTIVOS.</w:t>
      </w:r>
      <w:bookmarkEnd w:id="1"/>
      <w:r w:rsidRPr="008B77B8">
        <w:rPr>
          <w:rFonts w:ascii="Arial" w:hAnsi="Arial" w:cs="Arial"/>
          <w:i/>
          <w:sz w:val="24"/>
          <w:szCs w:val="24"/>
          <w:lang w:val="es-ES_tradnl"/>
        </w:rPr>
        <w:t> Cuando se trate de los delitos de homicidio o lesiones personales bajo modalidad dolosa, delitos contra la libertad, integridad y formación sexuales, o secuestro, cometidos contra niños, niñas y adolescentes, se aplicarán las siguientes reglas:</w:t>
      </w:r>
    </w:p>
    <w:p w14:paraId="33B472ED" w14:textId="34084D13" w:rsidR="008B77B8" w:rsidRDefault="008B77B8" w:rsidP="008B77B8">
      <w:pPr>
        <w:spacing w:after="120" w:line="360" w:lineRule="auto"/>
        <w:ind w:left="360"/>
        <w:jc w:val="both"/>
        <w:rPr>
          <w:rFonts w:ascii="Arial" w:hAnsi="Arial" w:cs="Arial"/>
          <w:i/>
          <w:sz w:val="24"/>
          <w:szCs w:val="24"/>
          <w:lang w:val="es-ES_tradnl"/>
        </w:rPr>
      </w:pPr>
      <w:r>
        <w:rPr>
          <w:rFonts w:ascii="Arial" w:hAnsi="Arial" w:cs="Arial"/>
          <w:b/>
          <w:bCs/>
          <w:i/>
          <w:sz w:val="24"/>
          <w:szCs w:val="24"/>
          <w:lang w:val="es-ES_tradnl"/>
        </w:rPr>
        <w:t>(…</w:t>
      </w:r>
      <w:r>
        <w:rPr>
          <w:rFonts w:ascii="Arial" w:hAnsi="Arial" w:cs="Arial"/>
          <w:i/>
          <w:sz w:val="24"/>
          <w:szCs w:val="24"/>
          <w:lang w:val="es-ES_tradnl"/>
        </w:rPr>
        <w:t>)</w:t>
      </w:r>
    </w:p>
    <w:p w14:paraId="3D81B1F6" w14:textId="0F952DC4" w:rsidR="008B77B8" w:rsidRPr="008B77B8" w:rsidRDefault="008B77B8" w:rsidP="008B77B8">
      <w:pPr>
        <w:spacing w:after="120" w:line="360" w:lineRule="auto"/>
        <w:ind w:left="360"/>
        <w:jc w:val="both"/>
        <w:rPr>
          <w:rFonts w:ascii="Arial" w:hAnsi="Arial" w:cs="Arial"/>
          <w:i/>
          <w:sz w:val="24"/>
          <w:szCs w:val="24"/>
          <w:lang w:val="es-ES_tradnl"/>
        </w:rPr>
      </w:pPr>
      <w:r w:rsidRPr="008B77B8">
        <w:rPr>
          <w:rFonts w:ascii="Arial" w:hAnsi="Arial" w:cs="Arial"/>
          <w:i/>
          <w:sz w:val="24"/>
          <w:szCs w:val="24"/>
          <w:lang w:val="es-ES_tradnl"/>
        </w:rPr>
        <w:t xml:space="preserve">8. </w:t>
      </w:r>
      <w:r w:rsidRPr="008B77B8">
        <w:rPr>
          <w:rFonts w:ascii="Arial" w:hAnsi="Arial" w:cs="Arial"/>
          <w:i/>
          <w:sz w:val="24"/>
          <w:szCs w:val="24"/>
          <w:u w:val="single"/>
          <w:lang w:val="es-ES_tradnl"/>
        </w:rPr>
        <w:t>Tampoco procederá ningún otro beneficio o subrogado judicial o administrativo,</w:t>
      </w:r>
      <w:r w:rsidRPr="008B77B8">
        <w:rPr>
          <w:rFonts w:ascii="Arial" w:hAnsi="Arial" w:cs="Arial"/>
          <w:i/>
          <w:sz w:val="24"/>
          <w:szCs w:val="24"/>
          <w:lang w:val="es-ES_tradnl"/>
        </w:rPr>
        <w:t xml:space="preserve"> salvo los beneficios por colaboración consagrados en el Código de Procedimiento Penal, siempre que esta sea efectiva</w:t>
      </w:r>
      <w:r>
        <w:rPr>
          <w:rFonts w:ascii="Arial" w:hAnsi="Arial" w:cs="Arial"/>
          <w:i/>
          <w:sz w:val="24"/>
          <w:szCs w:val="24"/>
          <w:lang w:val="es-ES_tradnl"/>
        </w:rPr>
        <w:t>”</w:t>
      </w:r>
      <w:r w:rsidRPr="008B77B8">
        <w:rPr>
          <w:rFonts w:ascii="Arial" w:hAnsi="Arial" w:cs="Arial"/>
          <w:i/>
          <w:sz w:val="24"/>
          <w:szCs w:val="24"/>
          <w:lang w:val="es-ES_tradnl"/>
        </w:rPr>
        <w:t>.</w:t>
      </w:r>
    </w:p>
    <w:p w14:paraId="66E93FC6" w14:textId="557B4EED" w:rsidR="008B77B8" w:rsidRDefault="008B77B8" w:rsidP="005E63BC">
      <w:pPr>
        <w:spacing w:after="120" w:line="360" w:lineRule="auto"/>
        <w:jc w:val="both"/>
        <w:rPr>
          <w:rFonts w:ascii="Arial" w:hAnsi="Arial" w:cs="Arial"/>
          <w:sz w:val="24"/>
          <w:szCs w:val="24"/>
        </w:rPr>
      </w:pPr>
      <w:r>
        <w:rPr>
          <w:rFonts w:ascii="Arial" w:hAnsi="Arial" w:cs="Arial"/>
          <w:sz w:val="24"/>
          <w:szCs w:val="24"/>
        </w:rPr>
        <w:t>Luego, con la expedición de la ley 1709 de 2014 se modificaron varios artículos de la ley 65 de 1993 (Código Penitenciario y Carcelario) entre los cuales están los siguientes:</w:t>
      </w:r>
    </w:p>
    <w:p w14:paraId="20F97A1E" w14:textId="03F469C8" w:rsidR="008B77B8" w:rsidRDefault="008B77B8" w:rsidP="008B77B8">
      <w:pPr>
        <w:spacing w:after="120" w:line="360" w:lineRule="auto"/>
        <w:ind w:left="360"/>
        <w:jc w:val="both"/>
        <w:rPr>
          <w:rFonts w:ascii="Arial" w:hAnsi="Arial" w:cs="Arial"/>
          <w:iCs/>
          <w:sz w:val="24"/>
          <w:szCs w:val="24"/>
          <w:lang w:val="es-ES_tradnl"/>
        </w:rPr>
      </w:pPr>
      <w:r>
        <w:rPr>
          <w:rFonts w:ascii="Arial" w:hAnsi="Arial" w:cs="Arial"/>
          <w:b/>
          <w:i/>
          <w:iCs/>
          <w:sz w:val="24"/>
          <w:szCs w:val="24"/>
          <w:lang w:val="es-ES"/>
        </w:rPr>
        <w:t>“</w:t>
      </w:r>
      <w:r>
        <w:rPr>
          <w:rFonts w:ascii="Arial" w:hAnsi="Arial" w:cs="Arial"/>
          <w:i/>
          <w:iCs/>
          <w:sz w:val="24"/>
          <w:szCs w:val="24"/>
          <w:lang w:val="es-ES"/>
        </w:rPr>
        <w:t>ARTÍCULO 68</w:t>
      </w:r>
      <w:r w:rsidRPr="008B77B8">
        <w:rPr>
          <w:rFonts w:ascii="Arial" w:hAnsi="Arial" w:cs="Arial"/>
          <w:i/>
          <w:iCs/>
          <w:sz w:val="24"/>
          <w:szCs w:val="24"/>
          <w:lang w:val="es-ES"/>
        </w:rPr>
        <w:t>. </w:t>
      </w:r>
      <w:r w:rsidRPr="008B77B8">
        <w:rPr>
          <w:rFonts w:ascii="Arial" w:hAnsi="Arial" w:cs="Arial"/>
          <w:i/>
          <w:iCs/>
          <w:sz w:val="24"/>
          <w:szCs w:val="24"/>
          <w:u w:val="single"/>
          <w:lang w:val="es-ES"/>
        </w:rPr>
        <w:t>EXCLUSIÓN DE LOS BENEFICIOS</w:t>
      </w:r>
      <w:r>
        <w:rPr>
          <w:rFonts w:ascii="Arial" w:hAnsi="Arial" w:cs="Arial"/>
          <w:i/>
          <w:iCs/>
          <w:sz w:val="24"/>
          <w:szCs w:val="24"/>
          <w:lang w:val="es-ES"/>
        </w:rPr>
        <w:t xml:space="preserve"> Y SUBROGADOS PENALES:</w:t>
      </w:r>
      <w:r w:rsidRPr="008B77B8">
        <w:rPr>
          <w:rFonts w:ascii="Arial" w:hAnsi="Arial" w:cs="Arial"/>
          <w:i/>
          <w:iCs/>
          <w:sz w:val="24"/>
          <w:szCs w:val="24"/>
          <w:lang w:val="es-ES"/>
        </w:rPr>
        <w:t xml:space="preserve"> No se concederán la suspensión condicional de la ejecución de la pena; la prisión domiciliaria como sustitutiva de la prisión; </w:t>
      </w:r>
      <w:r w:rsidRPr="008B77B8">
        <w:rPr>
          <w:rFonts w:ascii="Arial" w:hAnsi="Arial" w:cs="Arial"/>
          <w:i/>
          <w:iCs/>
          <w:sz w:val="24"/>
          <w:szCs w:val="24"/>
          <w:u w:val="single"/>
          <w:lang w:val="es-ES"/>
        </w:rPr>
        <w:t>ni habrá lugar a ningún otro beneficio</w:t>
      </w:r>
      <w:r w:rsidRPr="008B77B8">
        <w:rPr>
          <w:rFonts w:ascii="Arial" w:hAnsi="Arial" w:cs="Arial"/>
          <w:i/>
          <w:iCs/>
          <w:sz w:val="24"/>
          <w:szCs w:val="24"/>
          <w:lang w:val="es-ES"/>
        </w:rPr>
        <w:t>, judicial o administrativo, salvo los beneficios por colaboración regulados por la ley, siempre que esta sea efectiva, cuando la persona haya sido condenada por delito doloso dentro de los cinco (5) años anteriores.</w:t>
      </w:r>
      <w:r>
        <w:rPr>
          <w:rFonts w:ascii="Arial" w:hAnsi="Arial" w:cs="Arial"/>
          <w:i/>
          <w:iCs/>
          <w:sz w:val="24"/>
          <w:szCs w:val="24"/>
          <w:lang w:val="es-ES"/>
        </w:rPr>
        <w:t xml:space="preserve"> (…)”. </w:t>
      </w:r>
      <w:r>
        <w:rPr>
          <w:rFonts w:ascii="Arial" w:hAnsi="Arial" w:cs="Arial"/>
          <w:iCs/>
          <w:sz w:val="24"/>
          <w:szCs w:val="24"/>
          <w:lang w:val="es-ES"/>
        </w:rPr>
        <w:t xml:space="preserve">Es decir, excluyó de cualquier beneficio o rebaja de penas a </w:t>
      </w:r>
      <w:r w:rsidRPr="008B77B8">
        <w:rPr>
          <w:rFonts w:ascii="Arial" w:hAnsi="Arial" w:cs="Arial"/>
          <w:iCs/>
          <w:sz w:val="24"/>
          <w:szCs w:val="24"/>
          <w:lang w:val="es-ES"/>
        </w:rPr>
        <w:t>quienes hayan sido condenados por delitos contra la libertad, integridad y formación sexual</w:t>
      </w:r>
      <w:r>
        <w:rPr>
          <w:rFonts w:ascii="Arial" w:hAnsi="Arial" w:cs="Arial"/>
          <w:iCs/>
          <w:sz w:val="24"/>
          <w:szCs w:val="24"/>
          <w:lang w:val="es-ES_tradnl"/>
        </w:rPr>
        <w:t>, entre otros delitos. (Subrayado fuera del texto original).</w:t>
      </w:r>
    </w:p>
    <w:p w14:paraId="0F205736" w14:textId="77777777" w:rsidR="008B77B8" w:rsidRPr="008B77B8" w:rsidRDefault="008B77B8" w:rsidP="008B77B8">
      <w:pPr>
        <w:spacing w:after="120" w:line="360" w:lineRule="auto"/>
        <w:ind w:left="360"/>
        <w:jc w:val="both"/>
        <w:rPr>
          <w:rFonts w:ascii="Arial" w:hAnsi="Arial" w:cs="Arial"/>
          <w:iCs/>
          <w:sz w:val="24"/>
          <w:szCs w:val="24"/>
          <w:lang w:val="es-ES_tradnl"/>
        </w:rPr>
      </w:pPr>
    </w:p>
    <w:p w14:paraId="68B9FA21" w14:textId="47CCA392" w:rsidR="008B77B8" w:rsidRPr="008B77B8" w:rsidRDefault="008B77B8" w:rsidP="008B77B8">
      <w:pPr>
        <w:spacing w:after="120" w:line="360" w:lineRule="auto"/>
        <w:jc w:val="both"/>
        <w:rPr>
          <w:rFonts w:ascii="Arial" w:hAnsi="Arial" w:cs="Arial"/>
          <w:sz w:val="24"/>
          <w:szCs w:val="24"/>
          <w:lang w:val="es-ES_tradnl"/>
        </w:rPr>
      </w:pPr>
      <w:r>
        <w:rPr>
          <w:rFonts w:ascii="Arial" w:hAnsi="Arial" w:cs="Arial"/>
          <w:sz w:val="24"/>
          <w:szCs w:val="24"/>
        </w:rPr>
        <w:t xml:space="preserve">Además, </w:t>
      </w:r>
      <w:r w:rsidRPr="008B77B8">
        <w:rPr>
          <w:rFonts w:ascii="Arial" w:hAnsi="Arial" w:cs="Arial"/>
          <w:sz w:val="24"/>
          <w:szCs w:val="24"/>
          <w:lang w:val="es-ES_tradnl"/>
        </w:rPr>
        <w:t xml:space="preserve">introdujo en una nueva categoría </w:t>
      </w:r>
      <w:r w:rsidR="00B56F0B">
        <w:rPr>
          <w:rFonts w:ascii="Arial" w:hAnsi="Arial" w:cs="Arial"/>
          <w:sz w:val="24"/>
          <w:szCs w:val="24"/>
          <w:lang w:val="es-ES_tradnl"/>
        </w:rPr>
        <w:t xml:space="preserve">a </w:t>
      </w:r>
      <w:r w:rsidRPr="008B77B8">
        <w:rPr>
          <w:rFonts w:ascii="Arial" w:hAnsi="Arial" w:cs="Arial"/>
          <w:sz w:val="24"/>
          <w:szCs w:val="24"/>
          <w:lang w:val="es-ES_tradnl"/>
        </w:rPr>
        <w:t xml:space="preserve">la </w:t>
      </w:r>
      <w:r w:rsidR="00B56F0B">
        <w:rPr>
          <w:rFonts w:ascii="Arial" w:hAnsi="Arial" w:cs="Arial"/>
          <w:sz w:val="24"/>
          <w:szCs w:val="24"/>
          <w:lang w:val="es-ES_tradnl"/>
        </w:rPr>
        <w:t>“</w:t>
      </w:r>
      <w:r w:rsidRPr="008B77B8">
        <w:rPr>
          <w:rFonts w:ascii="Arial" w:hAnsi="Arial" w:cs="Arial"/>
          <w:sz w:val="24"/>
          <w:szCs w:val="24"/>
          <w:lang w:val="es-ES_tradnl"/>
        </w:rPr>
        <w:t>redenci</w:t>
      </w:r>
      <w:r>
        <w:rPr>
          <w:rFonts w:ascii="Arial" w:hAnsi="Arial" w:cs="Arial"/>
          <w:sz w:val="24"/>
          <w:szCs w:val="24"/>
          <w:lang w:val="es-ES_tradnl"/>
        </w:rPr>
        <w:t>ón de la pena</w:t>
      </w:r>
      <w:r w:rsidR="00B56F0B">
        <w:rPr>
          <w:rFonts w:ascii="Arial" w:hAnsi="Arial" w:cs="Arial"/>
          <w:sz w:val="24"/>
          <w:szCs w:val="24"/>
          <w:lang w:val="es-ES_tradnl"/>
        </w:rPr>
        <w:t>”</w:t>
      </w:r>
      <w:r>
        <w:rPr>
          <w:rFonts w:ascii="Arial" w:hAnsi="Arial" w:cs="Arial"/>
          <w:sz w:val="24"/>
          <w:szCs w:val="24"/>
          <w:lang w:val="es-ES_tradnl"/>
        </w:rPr>
        <w:t xml:space="preserve"> en el artículo 103A así:</w:t>
      </w:r>
    </w:p>
    <w:p w14:paraId="278F83D0" w14:textId="06D75D3B" w:rsidR="008B77B8" w:rsidRPr="008B77B8" w:rsidRDefault="008B77B8" w:rsidP="008B77B8">
      <w:pPr>
        <w:spacing w:after="120" w:line="360" w:lineRule="auto"/>
        <w:ind w:left="708"/>
        <w:jc w:val="both"/>
        <w:rPr>
          <w:rFonts w:ascii="Arial" w:hAnsi="Arial" w:cs="Arial"/>
          <w:sz w:val="24"/>
          <w:szCs w:val="24"/>
          <w:lang w:val="es-ES_tradnl"/>
        </w:rPr>
      </w:pPr>
      <w:r w:rsidRPr="008B77B8">
        <w:rPr>
          <w:rFonts w:ascii="Arial" w:hAnsi="Arial" w:cs="Arial"/>
          <w:sz w:val="24"/>
          <w:szCs w:val="24"/>
          <w:lang w:val="es-ES_tradnl"/>
        </w:rPr>
        <w:t> </w:t>
      </w:r>
      <w:r>
        <w:rPr>
          <w:rFonts w:ascii="Arial" w:hAnsi="Arial" w:cs="Arial"/>
          <w:sz w:val="24"/>
          <w:szCs w:val="24"/>
          <w:lang w:val="es-ES_tradnl"/>
        </w:rPr>
        <w:t xml:space="preserve">ARTÍCULO 103 A: </w:t>
      </w:r>
      <w:r>
        <w:rPr>
          <w:rFonts w:ascii="Arial" w:hAnsi="Arial" w:cs="Arial"/>
          <w:i/>
          <w:iCs/>
          <w:sz w:val="24"/>
          <w:szCs w:val="24"/>
          <w:lang w:val="es-ES"/>
        </w:rPr>
        <w:t>DERECHO A LA REDENCIÓN</w:t>
      </w:r>
      <w:r w:rsidRPr="008B77B8">
        <w:rPr>
          <w:rFonts w:ascii="Arial" w:hAnsi="Arial" w:cs="Arial"/>
          <w:i/>
          <w:iCs/>
          <w:sz w:val="24"/>
          <w:szCs w:val="24"/>
          <w:lang w:val="es-ES"/>
        </w:rPr>
        <w:t xml:space="preserve">. La redención de </w:t>
      </w:r>
      <w:r w:rsidRPr="008B77B8">
        <w:rPr>
          <w:rFonts w:ascii="Arial" w:hAnsi="Arial" w:cs="Arial"/>
          <w:i/>
          <w:iCs/>
          <w:sz w:val="24"/>
          <w:szCs w:val="24"/>
          <w:u w:val="single"/>
          <w:lang w:val="es-ES"/>
        </w:rPr>
        <w:t>pena es un derecho</w:t>
      </w:r>
      <w:r w:rsidRPr="008B77B8">
        <w:rPr>
          <w:rFonts w:ascii="Arial" w:hAnsi="Arial" w:cs="Arial"/>
          <w:i/>
          <w:iCs/>
          <w:sz w:val="24"/>
          <w:szCs w:val="24"/>
          <w:lang w:val="es-ES"/>
        </w:rPr>
        <w:t xml:space="preserve"> que será exigible una vez la persona privada de la libertad cumpla los requisitos exigidos para acceder a ella. Todas las decisiones que afecten la redención de la pena, podrán controvertirse ante los Jueces competentes.”</w:t>
      </w:r>
    </w:p>
    <w:p w14:paraId="1DCE9C81" w14:textId="7B9787F0" w:rsidR="008B77B8" w:rsidRDefault="008B77B8" w:rsidP="005E63BC">
      <w:pPr>
        <w:spacing w:after="120" w:line="360" w:lineRule="auto"/>
        <w:jc w:val="both"/>
        <w:rPr>
          <w:rFonts w:ascii="Arial" w:hAnsi="Arial" w:cs="Arial"/>
          <w:sz w:val="24"/>
          <w:szCs w:val="24"/>
        </w:rPr>
      </w:pPr>
      <w:r>
        <w:rPr>
          <w:rFonts w:ascii="Arial" w:hAnsi="Arial" w:cs="Arial"/>
          <w:sz w:val="24"/>
          <w:szCs w:val="24"/>
        </w:rPr>
        <w:t xml:space="preserve">Es decir, en aquella ocasión </w:t>
      </w:r>
      <w:r w:rsidRPr="008B77B8">
        <w:rPr>
          <w:rFonts w:ascii="Arial" w:hAnsi="Arial" w:cs="Arial"/>
          <w:b/>
          <w:sz w:val="24"/>
          <w:szCs w:val="24"/>
        </w:rPr>
        <w:t>el legislador consideró que la redención de la pena dejaba de ser un beneficio para convertirse en un derecho</w:t>
      </w:r>
      <w:r>
        <w:rPr>
          <w:rFonts w:ascii="Arial" w:hAnsi="Arial" w:cs="Arial"/>
          <w:sz w:val="24"/>
          <w:szCs w:val="24"/>
        </w:rPr>
        <w:t>.</w:t>
      </w:r>
    </w:p>
    <w:p w14:paraId="7B9D621A" w14:textId="14AB2097" w:rsidR="008B77B8" w:rsidRPr="008B77B8" w:rsidRDefault="008B77B8" w:rsidP="008B77B8">
      <w:pPr>
        <w:spacing w:after="120" w:line="360" w:lineRule="auto"/>
        <w:jc w:val="both"/>
        <w:rPr>
          <w:rFonts w:ascii="Arial" w:hAnsi="Arial" w:cs="Arial"/>
          <w:sz w:val="24"/>
          <w:szCs w:val="24"/>
          <w:lang w:val="es-ES_tradnl"/>
        </w:rPr>
      </w:pPr>
      <w:r>
        <w:rPr>
          <w:rFonts w:ascii="Arial" w:hAnsi="Arial" w:cs="Arial"/>
          <w:sz w:val="24"/>
          <w:szCs w:val="24"/>
        </w:rPr>
        <w:t xml:space="preserve">En virtud de lo anterior, advirtió </w:t>
      </w:r>
      <w:r w:rsidR="00B56F0B">
        <w:rPr>
          <w:rFonts w:ascii="Arial" w:hAnsi="Arial" w:cs="Arial"/>
          <w:sz w:val="24"/>
          <w:szCs w:val="24"/>
        </w:rPr>
        <w:t xml:space="preserve">en primera medida </w:t>
      </w:r>
      <w:r>
        <w:rPr>
          <w:rFonts w:ascii="Arial" w:hAnsi="Arial" w:cs="Arial"/>
          <w:sz w:val="24"/>
          <w:szCs w:val="24"/>
        </w:rPr>
        <w:t xml:space="preserve">la Corte </w:t>
      </w:r>
      <w:r w:rsidR="00B56F0B">
        <w:rPr>
          <w:rFonts w:ascii="Arial" w:hAnsi="Arial" w:cs="Arial"/>
          <w:sz w:val="24"/>
          <w:szCs w:val="24"/>
        </w:rPr>
        <w:t xml:space="preserve">en la sentencia sub exámine </w:t>
      </w:r>
      <w:r>
        <w:rPr>
          <w:rFonts w:ascii="Arial" w:hAnsi="Arial" w:cs="Arial"/>
          <w:sz w:val="24"/>
          <w:szCs w:val="24"/>
        </w:rPr>
        <w:t>que “</w:t>
      </w:r>
      <w:r w:rsidRPr="008B77B8">
        <w:rPr>
          <w:rFonts w:ascii="Arial" w:hAnsi="Arial" w:cs="Arial"/>
          <w:i/>
          <w:sz w:val="24"/>
          <w:szCs w:val="24"/>
          <w:lang w:val="es-ES_tradnl"/>
        </w:rPr>
        <w:t xml:space="preserve">En vigencia de la Ley 1709 de 2014, la Sala de Casación Penal de la Corte Suprema de Justicia en la Sentencia que se revisa, </w:t>
      </w:r>
      <w:r w:rsidRPr="008B77B8">
        <w:rPr>
          <w:rFonts w:ascii="Arial" w:hAnsi="Arial" w:cs="Arial"/>
          <w:i/>
          <w:sz w:val="24"/>
          <w:szCs w:val="24"/>
          <w:u w:val="single"/>
          <w:lang w:val="es-ES_tradnl"/>
        </w:rPr>
        <w:t>adoptó una nueva postura en cuanto a la redención de pena, ya que la introducción de la nueva categoría de “</w:t>
      </w:r>
      <w:r w:rsidRPr="008B77B8">
        <w:rPr>
          <w:rFonts w:ascii="Arial" w:hAnsi="Arial" w:cs="Arial"/>
          <w:i/>
          <w:iCs/>
          <w:sz w:val="24"/>
          <w:szCs w:val="24"/>
          <w:u w:val="single"/>
          <w:lang w:val="es-ES_tradnl"/>
        </w:rPr>
        <w:t>derecho</w:t>
      </w:r>
      <w:r w:rsidRPr="008B77B8">
        <w:rPr>
          <w:rFonts w:ascii="Arial" w:hAnsi="Arial" w:cs="Arial"/>
          <w:i/>
          <w:sz w:val="24"/>
          <w:szCs w:val="24"/>
          <w:u w:val="single"/>
          <w:lang w:val="es-ES_tradnl"/>
        </w:rPr>
        <w:t>”, en criterio de esa Corporación zanjó la discusión que existía alrededor de la naturaleza de la figura, es decir, que dejó de ser un “</w:t>
      </w:r>
      <w:r w:rsidRPr="008B77B8">
        <w:rPr>
          <w:rFonts w:ascii="Arial" w:hAnsi="Arial" w:cs="Arial"/>
          <w:i/>
          <w:iCs/>
          <w:sz w:val="24"/>
          <w:szCs w:val="24"/>
          <w:u w:val="single"/>
          <w:lang w:val="es-ES_tradnl"/>
        </w:rPr>
        <w:t>beneficio administrativo</w:t>
      </w:r>
      <w:r w:rsidRPr="008B77B8">
        <w:rPr>
          <w:rFonts w:ascii="Arial" w:hAnsi="Arial" w:cs="Arial"/>
          <w:i/>
          <w:sz w:val="24"/>
          <w:szCs w:val="24"/>
          <w:u w:val="single"/>
          <w:lang w:val="es-ES_tradnl"/>
        </w:rPr>
        <w:t>” limitado por el legislador para ser un “</w:t>
      </w:r>
      <w:r w:rsidRPr="008B77B8">
        <w:rPr>
          <w:rFonts w:ascii="Arial" w:hAnsi="Arial" w:cs="Arial"/>
          <w:i/>
          <w:iCs/>
          <w:sz w:val="24"/>
          <w:szCs w:val="24"/>
          <w:u w:val="single"/>
          <w:lang w:val="es-ES_tradnl"/>
        </w:rPr>
        <w:t>derecho</w:t>
      </w:r>
      <w:r w:rsidRPr="008B77B8">
        <w:rPr>
          <w:rFonts w:ascii="Arial" w:hAnsi="Arial" w:cs="Arial"/>
          <w:i/>
          <w:sz w:val="24"/>
          <w:szCs w:val="24"/>
          <w:u w:val="single"/>
          <w:lang w:val="es-ES_tradnl"/>
        </w:rPr>
        <w:t>” reconocido por la Ley</w:t>
      </w:r>
      <w:r>
        <w:rPr>
          <w:rFonts w:ascii="Arial" w:hAnsi="Arial" w:cs="Arial"/>
          <w:sz w:val="24"/>
          <w:szCs w:val="24"/>
          <w:lang w:val="es-ES_tradnl"/>
        </w:rPr>
        <w:t>”</w:t>
      </w:r>
      <w:r w:rsidRPr="008B77B8">
        <w:rPr>
          <w:rFonts w:ascii="Arial" w:hAnsi="Arial" w:cs="Arial"/>
          <w:sz w:val="24"/>
          <w:szCs w:val="24"/>
          <w:lang w:val="es-ES_tradnl"/>
        </w:rPr>
        <w:t>.</w:t>
      </w:r>
      <w:r>
        <w:rPr>
          <w:rFonts w:ascii="Arial" w:hAnsi="Arial" w:cs="Arial"/>
          <w:sz w:val="24"/>
          <w:szCs w:val="24"/>
          <w:lang w:val="es-ES_tradnl"/>
        </w:rPr>
        <w:t xml:space="preserve"> (Subrayado fuera del texto original).</w:t>
      </w:r>
    </w:p>
    <w:p w14:paraId="69D06AA1" w14:textId="7A11987A" w:rsidR="008B77B8" w:rsidRDefault="00A237CA" w:rsidP="005E63BC">
      <w:pPr>
        <w:spacing w:after="120" w:line="360" w:lineRule="auto"/>
        <w:jc w:val="both"/>
        <w:rPr>
          <w:rFonts w:ascii="Arial" w:hAnsi="Arial" w:cs="Arial"/>
          <w:sz w:val="24"/>
          <w:szCs w:val="24"/>
        </w:rPr>
      </w:pPr>
      <w:r>
        <w:rPr>
          <w:rFonts w:ascii="Arial" w:hAnsi="Arial" w:cs="Arial"/>
          <w:sz w:val="24"/>
          <w:szCs w:val="24"/>
        </w:rPr>
        <w:t>Luego, la Corte hizo el siguiente razonamiento:</w:t>
      </w:r>
    </w:p>
    <w:p w14:paraId="50804BA0" w14:textId="308D6580" w:rsidR="00A237CA" w:rsidRPr="00A237CA" w:rsidRDefault="00A237CA" w:rsidP="00A237CA">
      <w:pPr>
        <w:spacing w:after="120" w:line="360" w:lineRule="auto"/>
        <w:ind w:left="708"/>
        <w:jc w:val="both"/>
        <w:rPr>
          <w:rFonts w:ascii="Arial" w:hAnsi="Arial" w:cs="Arial"/>
          <w:i/>
          <w:sz w:val="24"/>
          <w:szCs w:val="24"/>
        </w:rPr>
      </w:pPr>
      <w:r w:rsidRPr="00A237CA">
        <w:rPr>
          <w:rFonts w:ascii="Arial" w:hAnsi="Arial" w:cs="Arial"/>
          <w:i/>
          <w:sz w:val="24"/>
          <w:szCs w:val="24"/>
        </w:rPr>
        <w:t>“ (…)</w:t>
      </w:r>
    </w:p>
    <w:p w14:paraId="1C02BFD5" w14:textId="77777777" w:rsidR="00A237CA" w:rsidRPr="00A237CA" w:rsidRDefault="00A237CA" w:rsidP="00A237CA">
      <w:pPr>
        <w:spacing w:after="120" w:line="360" w:lineRule="auto"/>
        <w:ind w:left="708"/>
        <w:jc w:val="both"/>
        <w:rPr>
          <w:rFonts w:ascii="Arial" w:hAnsi="Arial" w:cs="Arial"/>
          <w:i/>
          <w:sz w:val="24"/>
          <w:szCs w:val="24"/>
          <w:lang w:val="es-ES_tradnl"/>
        </w:rPr>
      </w:pPr>
      <w:r w:rsidRPr="00A237CA">
        <w:rPr>
          <w:rFonts w:ascii="Arial" w:hAnsi="Arial" w:cs="Arial"/>
          <w:i/>
          <w:sz w:val="24"/>
          <w:szCs w:val="24"/>
          <w:lang w:val="es-ES"/>
        </w:rPr>
        <w:t>Es de destacarse que tratándose de la protección a menores víctimas de delitos, el legislador ha adoptado medidas tendientes salvaguardar sus derechos dentro del ámbito penal, </w:t>
      </w:r>
      <w:r w:rsidRPr="00A237CA">
        <w:rPr>
          <w:rFonts w:ascii="Arial" w:hAnsi="Arial" w:cs="Arial"/>
          <w:i/>
          <w:iCs/>
          <w:sz w:val="24"/>
          <w:szCs w:val="24"/>
          <w:lang w:val="es-ES"/>
        </w:rPr>
        <w:t>v. g.</w:t>
      </w:r>
      <w:r w:rsidRPr="00A237CA">
        <w:rPr>
          <w:rFonts w:ascii="Arial" w:hAnsi="Arial" w:cs="Arial"/>
          <w:i/>
          <w:sz w:val="24"/>
          <w:szCs w:val="24"/>
          <w:lang w:val="es-ES"/>
        </w:rPr>
        <w:t xml:space="preserve"> al establecer penas más altas o agravantes punitivos para aquellas conductas penales cuando el sujeto pasivo es un menor de 18 años. Así mismo en cumplimiento de los compromisos internacionales, </w:t>
      </w:r>
      <w:r w:rsidRPr="00B56F0B">
        <w:rPr>
          <w:rFonts w:ascii="Arial" w:hAnsi="Arial" w:cs="Arial"/>
          <w:i/>
          <w:sz w:val="24"/>
          <w:szCs w:val="24"/>
          <w:u w:val="single"/>
          <w:lang w:val="es-ES"/>
        </w:rPr>
        <w:t>el Estado colombiano a través de sus diferentes ramas del poder público se ha encargado de garantizar la reparación integral y ha buscado eliminar cualquier forma de revictimización de los niños, niñas y adolescentes</w:t>
      </w:r>
      <w:r w:rsidRPr="00A237CA">
        <w:rPr>
          <w:rFonts w:ascii="Arial" w:hAnsi="Arial" w:cs="Arial"/>
          <w:i/>
          <w:sz w:val="24"/>
          <w:szCs w:val="24"/>
          <w:lang w:val="es-ES"/>
        </w:rPr>
        <w:t>.</w:t>
      </w:r>
    </w:p>
    <w:p w14:paraId="3085FD0F" w14:textId="77777777" w:rsidR="00A237CA" w:rsidRPr="00A237CA" w:rsidRDefault="00A237CA" w:rsidP="00A237CA">
      <w:pPr>
        <w:spacing w:after="120" w:line="360" w:lineRule="auto"/>
        <w:jc w:val="both"/>
        <w:rPr>
          <w:rFonts w:ascii="Arial" w:hAnsi="Arial" w:cs="Arial"/>
          <w:i/>
          <w:sz w:val="24"/>
          <w:szCs w:val="24"/>
          <w:lang w:val="es-ES_tradnl"/>
        </w:rPr>
      </w:pPr>
      <w:r w:rsidRPr="00A237CA">
        <w:rPr>
          <w:rFonts w:ascii="Arial" w:hAnsi="Arial" w:cs="Arial"/>
          <w:i/>
          <w:sz w:val="24"/>
          <w:szCs w:val="24"/>
          <w:lang w:val="es-ES"/>
        </w:rPr>
        <w:t> </w:t>
      </w:r>
    </w:p>
    <w:p w14:paraId="1F4A0882" w14:textId="4A915C38" w:rsidR="00A237CA" w:rsidRPr="00A237CA" w:rsidRDefault="00A237CA" w:rsidP="00A237CA">
      <w:pPr>
        <w:spacing w:after="120" w:line="360" w:lineRule="auto"/>
        <w:ind w:left="708"/>
        <w:jc w:val="both"/>
        <w:rPr>
          <w:rFonts w:ascii="Arial" w:hAnsi="Arial" w:cs="Arial"/>
          <w:i/>
          <w:sz w:val="24"/>
          <w:szCs w:val="24"/>
          <w:lang w:val="es-ES_tradnl"/>
        </w:rPr>
      </w:pPr>
      <w:r w:rsidRPr="00A237CA">
        <w:rPr>
          <w:rFonts w:ascii="Arial" w:hAnsi="Arial" w:cs="Arial"/>
          <w:i/>
          <w:sz w:val="24"/>
          <w:szCs w:val="24"/>
          <w:lang w:val="es-ES"/>
        </w:rPr>
        <w:t>Sin embargo, las medidas legislativas, administrativas y judiciales adoptadas para dar cumplimiento a los compromisos internacionales, deben consultar los parámetros constitucionales en que se funda el Estado colombiano y demás normas que integran el bloque de constitucionalidad, en virtud de las cuales existen garantías mínimas aplicables en general a todas las personas -incluyendo los infractores de la ley penal- y que de ningún modo pueden ser desconocidas, abolidas o suspendidas, como la dignidad humana, que además de ser un principio y derecho fundamental se constituye en un límite al ejercicio del </w:t>
      </w:r>
      <w:r w:rsidRPr="00A237CA">
        <w:rPr>
          <w:rFonts w:ascii="Arial" w:hAnsi="Arial" w:cs="Arial"/>
          <w:i/>
          <w:iCs/>
          <w:sz w:val="24"/>
          <w:szCs w:val="24"/>
          <w:lang w:val="es-ES"/>
        </w:rPr>
        <w:t>ius puniendi</w:t>
      </w:r>
      <w:r w:rsidRPr="00A237CA">
        <w:rPr>
          <w:rFonts w:ascii="Arial" w:hAnsi="Arial" w:cs="Arial"/>
          <w:i/>
          <w:sz w:val="24"/>
          <w:szCs w:val="24"/>
          <w:lang w:val="es-ES"/>
        </w:rPr>
        <w:t>.</w:t>
      </w:r>
    </w:p>
    <w:p w14:paraId="763537D1" w14:textId="77777777" w:rsidR="00A237CA" w:rsidRPr="00A237CA" w:rsidRDefault="00A237CA" w:rsidP="00A237CA">
      <w:pPr>
        <w:spacing w:after="120" w:line="360" w:lineRule="auto"/>
        <w:jc w:val="both"/>
        <w:rPr>
          <w:rFonts w:ascii="Arial" w:hAnsi="Arial" w:cs="Arial"/>
          <w:i/>
          <w:sz w:val="24"/>
          <w:szCs w:val="24"/>
          <w:lang w:val="es-ES_tradnl"/>
        </w:rPr>
      </w:pPr>
      <w:r w:rsidRPr="00A237CA">
        <w:rPr>
          <w:rFonts w:ascii="Arial" w:hAnsi="Arial" w:cs="Arial"/>
          <w:i/>
          <w:sz w:val="24"/>
          <w:szCs w:val="24"/>
          <w:lang w:val="es-ES"/>
        </w:rPr>
        <w:t> </w:t>
      </w:r>
    </w:p>
    <w:p w14:paraId="72AB4FE6" w14:textId="22F9495D" w:rsidR="00A237CA" w:rsidRPr="00A237CA" w:rsidRDefault="00A237CA" w:rsidP="00A237CA">
      <w:pPr>
        <w:spacing w:after="120" w:line="360" w:lineRule="auto"/>
        <w:ind w:left="708"/>
        <w:jc w:val="both"/>
        <w:rPr>
          <w:rFonts w:ascii="Arial" w:hAnsi="Arial" w:cs="Arial"/>
          <w:i/>
          <w:sz w:val="24"/>
          <w:szCs w:val="24"/>
          <w:lang w:val="es-ES_tradnl"/>
        </w:rPr>
      </w:pPr>
      <w:r w:rsidRPr="00A237CA">
        <w:rPr>
          <w:rFonts w:ascii="Arial" w:hAnsi="Arial" w:cs="Arial"/>
          <w:i/>
          <w:sz w:val="24"/>
          <w:szCs w:val="24"/>
          <w:lang w:val="es-ES"/>
        </w:rPr>
        <w:t>Lo anterior significa que la política criminal del Estado y el deber de proteger a los niños, niñas y adolescentes deben articularse, de manera que las medidas, decisiones y disposiciones adoptadas por los distintos poderes públicos -especialmente el legislativo-, guarden armonía con los principios en que se funda el Estado social de derecho, puntualmente en aquello relacionado con el catálogo de garantías que reconoce para todos habitantes del territorio nacional –incluidos los infantes y los infractores de la ley penal-. De lo contrario,  tal actuación pasaría de perseguir un objetivo legítimo a materializar un abierto desconocimiento de otros derechos también cobijados por la Constitución”.</w:t>
      </w:r>
    </w:p>
    <w:p w14:paraId="02E3D93D" w14:textId="4F783587" w:rsidR="00A237CA" w:rsidRDefault="00A237CA" w:rsidP="005E63BC">
      <w:pPr>
        <w:spacing w:after="120" w:line="360" w:lineRule="auto"/>
        <w:jc w:val="both"/>
        <w:rPr>
          <w:rFonts w:ascii="Arial" w:hAnsi="Arial" w:cs="Arial"/>
          <w:sz w:val="24"/>
          <w:szCs w:val="24"/>
        </w:rPr>
      </w:pPr>
      <w:r>
        <w:rPr>
          <w:rFonts w:ascii="Arial" w:hAnsi="Arial" w:cs="Arial"/>
          <w:sz w:val="24"/>
          <w:szCs w:val="24"/>
        </w:rPr>
        <w:t>Posteriormente dijo al analizar el caso concreto:</w:t>
      </w:r>
    </w:p>
    <w:p w14:paraId="1FFCDD10" w14:textId="7D0BF9B9" w:rsidR="00A237CA" w:rsidRDefault="00A237CA" w:rsidP="00A237CA">
      <w:pPr>
        <w:spacing w:after="120" w:line="360" w:lineRule="auto"/>
        <w:ind w:left="708"/>
        <w:jc w:val="both"/>
        <w:rPr>
          <w:rFonts w:ascii="Arial" w:hAnsi="Arial" w:cs="Arial"/>
          <w:sz w:val="24"/>
          <w:szCs w:val="24"/>
          <w:lang w:val="es-ES_tradnl"/>
        </w:rPr>
      </w:pPr>
      <w:r>
        <w:rPr>
          <w:rFonts w:ascii="Arial" w:hAnsi="Arial" w:cs="Arial"/>
          <w:sz w:val="24"/>
          <w:szCs w:val="24"/>
          <w:lang w:val="es-ES_tradnl"/>
        </w:rPr>
        <w:t>“</w:t>
      </w:r>
      <w:r w:rsidRPr="00A237CA">
        <w:rPr>
          <w:rFonts w:ascii="Arial" w:hAnsi="Arial" w:cs="Arial"/>
          <w:i/>
          <w:sz w:val="24"/>
          <w:szCs w:val="24"/>
          <w:lang w:val="es-ES_tradnl"/>
        </w:rPr>
        <w:t xml:space="preserve">En este contexto, debe precisarse que en un Estado social de derecho, fundado en la dignidad humana, </w:t>
      </w:r>
      <w:r w:rsidRPr="00B56F0B">
        <w:rPr>
          <w:rFonts w:ascii="Arial" w:hAnsi="Arial" w:cs="Arial"/>
          <w:i/>
          <w:sz w:val="24"/>
          <w:szCs w:val="24"/>
          <w:u w:val="single"/>
          <w:lang w:val="es-ES_tradnl"/>
        </w:rPr>
        <w:t>la redención de pena que reclama el demandante guarda íntima relación con la realización de las garantías mínimas establecidas en el catálogo normativo superior y puntualmente, en la resocialización del infractor, como fin esencial de la sanción penal</w:t>
      </w:r>
      <w:r>
        <w:rPr>
          <w:rFonts w:ascii="Arial" w:hAnsi="Arial" w:cs="Arial"/>
          <w:sz w:val="24"/>
          <w:szCs w:val="24"/>
          <w:lang w:val="es-ES_tradnl"/>
        </w:rPr>
        <w:t>”</w:t>
      </w:r>
      <w:r w:rsidRPr="00A237CA">
        <w:rPr>
          <w:rFonts w:ascii="Arial" w:hAnsi="Arial" w:cs="Arial"/>
          <w:sz w:val="24"/>
          <w:szCs w:val="24"/>
          <w:lang w:val="es-ES_tradnl"/>
        </w:rPr>
        <w:t>.</w:t>
      </w:r>
    </w:p>
    <w:p w14:paraId="4F3166AA" w14:textId="556CEEDA" w:rsidR="00A237CA" w:rsidRDefault="00A237CA" w:rsidP="00A237CA">
      <w:pPr>
        <w:spacing w:after="120" w:line="360" w:lineRule="auto"/>
        <w:ind w:left="708"/>
        <w:jc w:val="both"/>
        <w:rPr>
          <w:rFonts w:ascii="Arial" w:hAnsi="Arial" w:cs="Arial"/>
          <w:i/>
          <w:sz w:val="24"/>
          <w:szCs w:val="24"/>
          <w:lang w:val="es-ES"/>
        </w:rPr>
      </w:pPr>
      <w:r>
        <w:rPr>
          <w:rFonts w:ascii="Arial" w:hAnsi="Arial" w:cs="Arial"/>
          <w:sz w:val="24"/>
          <w:szCs w:val="24"/>
          <w:lang w:val="es-ES_tradnl"/>
        </w:rPr>
        <w:t>“</w:t>
      </w:r>
      <w:r w:rsidRPr="00A237CA">
        <w:rPr>
          <w:rFonts w:ascii="Arial" w:hAnsi="Arial" w:cs="Arial"/>
          <w:i/>
          <w:sz w:val="24"/>
          <w:szCs w:val="24"/>
          <w:lang w:val="es-ES"/>
        </w:rPr>
        <w:t>Sin embargo</w:t>
      </w:r>
      <w:r w:rsidRPr="00B56F0B">
        <w:rPr>
          <w:rFonts w:ascii="Arial" w:hAnsi="Arial" w:cs="Arial"/>
          <w:i/>
          <w:sz w:val="24"/>
          <w:szCs w:val="24"/>
          <w:u w:val="single"/>
          <w:lang w:val="es-ES"/>
        </w:rPr>
        <w:t>, lo mismo no puede predicarse de la aparente prohibición a la redención de pena prevista en el numeral 8º del artículo 199 del CIA, que está referida a los beneficios y subrogados administrativos y judiciales, y no a la institución del descuento de los días físicos de prisión por estudio, enseñanza, trabajo, deporte o actividades artísticas, dado que esta institución persigue un fin superior que es la resocialización</w:t>
      </w:r>
      <w:r w:rsidRPr="00A237CA">
        <w:rPr>
          <w:rFonts w:ascii="Arial" w:hAnsi="Arial" w:cs="Arial"/>
          <w:i/>
          <w:sz w:val="24"/>
          <w:szCs w:val="24"/>
          <w:lang w:val="es-ES"/>
        </w:rPr>
        <w:t>.</w:t>
      </w:r>
    </w:p>
    <w:p w14:paraId="7064899C" w14:textId="0B27663B" w:rsidR="00B56F0B" w:rsidRDefault="00B56F0B" w:rsidP="00A237CA">
      <w:pPr>
        <w:spacing w:after="120" w:line="360" w:lineRule="auto"/>
        <w:ind w:left="708"/>
        <w:jc w:val="both"/>
        <w:rPr>
          <w:rFonts w:ascii="Arial" w:hAnsi="Arial" w:cs="Arial"/>
          <w:sz w:val="24"/>
          <w:szCs w:val="24"/>
          <w:lang w:val="es-ES"/>
        </w:rPr>
      </w:pPr>
      <w:r>
        <w:rPr>
          <w:rFonts w:ascii="Arial" w:hAnsi="Arial" w:cs="Arial"/>
          <w:sz w:val="24"/>
          <w:szCs w:val="24"/>
          <w:lang w:val="es-ES"/>
        </w:rPr>
        <w:t>(Subrayado fuera del texto original)</w:t>
      </w:r>
    </w:p>
    <w:p w14:paraId="5C001B62" w14:textId="77777777" w:rsidR="00B56F0B" w:rsidRPr="00B56F0B" w:rsidRDefault="00B56F0B" w:rsidP="00A237CA">
      <w:pPr>
        <w:spacing w:after="120" w:line="360" w:lineRule="auto"/>
        <w:ind w:left="708"/>
        <w:jc w:val="both"/>
        <w:rPr>
          <w:rFonts w:ascii="Arial" w:hAnsi="Arial" w:cs="Arial"/>
          <w:sz w:val="24"/>
          <w:szCs w:val="24"/>
          <w:lang w:val="es-ES_tradnl"/>
        </w:rPr>
      </w:pPr>
    </w:p>
    <w:p w14:paraId="094298EA" w14:textId="77777777" w:rsidR="00B56F0B" w:rsidRDefault="00B56F0B" w:rsidP="00B56F0B">
      <w:pPr>
        <w:spacing w:after="120" w:line="360" w:lineRule="auto"/>
        <w:ind w:left="360"/>
        <w:jc w:val="both"/>
        <w:rPr>
          <w:rFonts w:ascii="Arial" w:hAnsi="Arial" w:cs="Arial"/>
          <w:sz w:val="24"/>
          <w:szCs w:val="24"/>
          <w:lang w:val="es-ES"/>
        </w:rPr>
      </w:pPr>
      <w:r>
        <w:rPr>
          <w:rFonts w:ascii="Arial" w:hAnsi="Arial" w:cs="Arial"/>
          <w:sz w:val="24"/>
          <w:szCs w:val="24"/>
          <w:lang w:val="es-ES"/>
        </w:rPr>
        <w:t>De lo anterior citado, sea primero resaltar que cuando la Corte afirmó “</w:t>
      </w:r>
      <w:r w:rsidRPr="00B56F0B">
        <w:rPr>
          <w:rFonts w:ascii="Arial" w:hAnsi="Arial" w:cs="Arial"/>
          <w:i/>
          <w:sz w:val="24"/>
          <w:szCs w:val="24"/>
          <w:u w:val="single"/>
          <w:lang w:val="es-ES"/>
        </w:rPr>
        <w:t>el Estado colombiano a través de sus diferentes ramas del poder público se ha encargado de garantizar la reparación integral y ha buscado eliminar cualquier forma de revictimización de los niños, niñas y adolescentes</w:t>
      </w:r>
      <w:r>
        <w:rPr>
          <w:rFonts w:ascii="Arial" w:hAnsi="Arial" w:cs="Arial"/>
          <w:i/>
          <w:sz w:val="24"/>
          <w:szCs w:val="24"/>
          <w:u w:val="single"/>
          <w:lang w:val="es-ES"/>
        </w:rPr>
        <w:t>”</w:t>
      </w:r>
      <w:r>
        <w:rPr>
          <w:rFonts w:ascii="Arial" w:hAnsi="Arial" w:cs="Arial"/>
          <w:i/>
          <w:sz w:val="24"/>
          <w:szCs w:val="24"/>
          <w:lang w:val="es-ES"/>
        </w:rPr>
        <w:t>,</w:t>
      </w:r>
      <w:r w:rsidRPr="00B56F0B">
        <w:rPr>
          <w:rFonts w:ascii="Arial" w:hAnsi="Arial" w:cs="Arial"/>
          <w:sz w:val="24"/>
          <w:szCs w:val="24"/>
          <w:lang w:val="es-ES"/>
        </w:rPr>
        <w:t xml:space="preserve"> respetuosamente</w:t>
      </w:r>
      <w:r>
        <w:rPr>
          <w:rFonts w:ascii="Arial" w:hAnsi="Arial" w:cs="Arial"/>
          <w:sz w:val="24"/>
          <w:szCs w:val="24"/>
          <w:lang w:val="es-ES"/>
        </w:rPr>
        <w:t>, hace esa afirmación de espaldas a la realidad, puesto que el Estado Colombiano a través de sus ramas del poder público tiene notables debilidades en su capacidad institucional de “reparar integralmente“ a ese grupo poblacional, situación que se esboza en las consideraciones fácticas de este proyecto.</w:t>
      </w:r>
    </w:p>
    <w:p w14:paraId="6A5ACF7C" w14:textId="2B8E8A99" w:rsidR="00B56F0B" w:rsidRDefault="00B56F0B" w:rsidP="00B56F0B">
      <w:pPr>
        <w:spacing w:after="120" w:line="360" w:lineRule="auto"/>
        <w:ind w:left="360"/>
        <w:jc w:val="both"/>
        <w:rPr>
          <w:rFonts w:ascii="Arial" w:hAnsi="Arial" w:cs="Arial"/>
          <w:sz w:val="24"/>
          <w:szCs w:val="24"/>
          <w:lang w:val="es-ES"/>
        </w:rPr>
      </w:pPr>
      <w:r>
        <w:rPr>
          <w:rFonts w:ascii="Arial" w:hAnsi="Arial" w:cs="Arial"/>
          <w:sz w:val="24"/>
          <w:szCs w:val="24"/>
          <w:lang w:val="es-ES"/>
        </w:rPr>
        <w:t>Por otro lado, tal como se dijo en el acápite 2.2 del presente proyecto de ley, la finalidad de esta iniciativa no se circunscribe en quitar el derecho de redención de la pena por estudio, trabajo, enseñanza o actividades literarias o deportivas a los infractores de la ley penal que tengan la calidad de condenados, sino en establecer ponderadamente un sistema de redención diferenciado persuasivo “sin afectar el núcleo esencial” de la dignidad humana y los fines resocializadores de la pena cuando quienes tengan la calidad de víctimas sean niños, niñas y adolescentes.</w:t>
      </w:r>
    </w:p>
    <w:p w14:paraId="7F470023" w14:textId="1667DB1D" w:rsidR="008B77B8" w:rsidRPr="00B56F0B" w:rsidRDefault="00B56F0B" w:rsidP="00B56F0B">
      <w:pPr>
        <w:spacing w:after="120" w:line="360" w:lineRule="auto"/>
        <w:ind w:left="360"/>
        <w:jc w:val="both"/>
        <w:rPr>
          <w:rFonts w:ascii="Arial" w:hAnsi="Arial" w:cs="Arial"/>
          <w:sz w:val="24"/>
          <w:szCs w:val="24"/>
          <w:lang w:val="es-ES_tradnl"/>
        </w:rPr>
      </w:pPr>
      <w:r>
        <w:rPr>
          <w:rFonts w:ascii="Arial" w:hAnsi="Arial" w:cs="Arial"/>
          <w:sz w:val="24"/>
          <w:szCs w:val="24"/>
          <w:lang w:val="es-ES"/>
        </w:rPr>
        <w:t xml:space="preserve"> </w:t>
      </w:r>
      <w:r>
        <w:rPr>
          <w:rFonts w:ascii="Arial" w:hAnsi="Arial" w:cs="Arial"/>
          <w:i/>
          <w:sz w:val="24"/>
          <w:szCs w:val="24"/>
          <w:lang w:val="es-ES"/>
        </w:rPr>
        <w:t xml:space="preserve"> </w:t>
      </w:r>
    </w:p>
    <w:p w14:paraId="2ACE80D8" w14:textId="77777777" w:rsidR="00FB0EF5" w:rsidRPr="00FB0EF5" w:rsidRDefault="00B46DE9" w:rsidP="00FB0EF5">
      <w:pPr>
        <w:pStyle w:val="Prrafodelista"/>
        <w:numPr>
          <w:ilvl w:val="0"/>
          <w:numId w:val="1"/>
        </w:numPr>
        <w:spacing w:after="120" w:line="360" w:lineRule="auto"/>
        <w:jc w:val="both"/>
        <w:rPr>
          <w:rFonts w:ascii="Arial" w:hAnsi="Arial" w:cs="Arial"/>
          <w:b/>
          <w:sz w:val="24"/>
          <w:szCs w:val="24"/>
        </w:rPr>
      </w:pPr>
      <w:r>
        <w:rPr>
          <w:rFonts w:ascii="Arial" w:hAnsi="Arial" w:cs="Arial"/>
          <w:b/>
          <w:sz w:val="24"/>
          <w:szCs w:val="24"/>
        </w:rPr>
        <w:t xml:space="preserve">Consideraciones </w:t>
      </w:r>
      <w:r w:rsidR="00FB0EF5" w:rsidRPr="00FB0EF5">
        <w:rPr>
          <w:rFonts w:ascii="Arial" w:hAnsi="Arial" w:cs="Arial"/>
          <w:b/>
          <w:sz w:val="24"/>
          <w:szCs w:val="24"/>
        </w:rPr>
        <w:t>Fácticas</w:t>
      </w:r>
    </w:p>
    <w:p w14:paraId="4F31A92C" w14:textId="77777777" w:rsidR="00FB0EF5" w:rsidRPr="00FB0EF5" w:rsidRDefault="00516389" w:rsidP="00FB0EF5">
      <w:pPr>
        <w:spacing w:after="120" w:line="360" w:lineRule="auto"/>
        <w:jc w:val="both"/>
        <w:rPr>
          <w:rFonts w:ascii="Arial" w:hAnsi="Arial" w:cs="Arial"/>
          <w:sz w:val="24"/>
          <w:szCs w:val="24"/>
        </w:rPr>
      </w:pPr>
      <w:r>
        <w:rPr>
          <w:rFonts w:ascii="Arial" w:hAnsi="Arial" w:cs="Arial"/>
          <w:sz w:val="24"/>
          <w:szCs w:val="24"/>
        </w:rPr>
        <w:t>La violencia sexual en</w:t>
      </w:r>
      <w:r w:rsidR="002206E9" w:rsidRPr="00FB0EF5">
        <w:rPr>
          <w:rFonts w:ascii="Arial" w:hAnsi="Arial" w:cs="Arial"/>
          <w:sz w:val="24"/>
          <w:szCs w:val="24"/>
        </w:rPr>
        <w:t xml:space="preserve"> niños, niñas y adolescentes es un problema que el Estado</w:t>
      </w:r>
      <w:r w:rsidR="00F75B6B" w:rsidRPr="00FB0EF5">
        <w:rPr>
          <w:rFonts w:ascii="Arial" w:hAnsi="Arial" w:cs="Arial"/>
          <w:sz w:val="24"/>
          <w:szCs w:val="24"/>
        </w:rPr>
        <w:t xml:space="preserve"> ha sido inc</w:t>
      </w:r>
      <w:r w:rsidR="00CF49E9" w:rsidRPr="00FB0EF5">
        <w:rPr>
          <w:rFonts w:ascii="Arial" w:hAnsi="Arial" w:cs="Arial"/>
          <w:sz w:val="24"/>
          <w:szCs w:val="24"/>
        </w:rPr>
        <w:t>apaz de afrontar multidimensionalmente. Desde su estructura organica, así como en sus políticas preventivas y represivas, se evidencia el creciente abuso en su libertad e integridad sexual, especialmente en menores de edad del genero femenino.</w:t>
      </w:r>
    </w:p>
    <w:p w14:paraId="3F33DA7F" w14:textId="77777777" w:rsidR="00516389" w:rsidRDefault="00FB0EF5" w:rsidP="00FB0EF5">
      <w:pPr>
        <w:spacing w:after="120" w:line="360" w:lineRule="auto"/>
        <w:jc w:val="both"/>
        <w:rPr>
          <w:rFonts w:ascii="Arial" w:hAnsi="Arial" w:cs="Arial"/>
          <w:noProof/>
          <w:sz w:val="24"/>
          <w:szCs w:val="24"/>
          <w:lang w:val="es-ES_tradnl" w:eastAsia="es-CO"/>
        </w:rPr>
      </w:pPr>
      <w:r>
        <w:rPr>
          <w:rFonts w:ascii="Arial" w:hAnsi="Arial" w:cs="Arial"/>
          <w:sz w:val="24"/>
          <w:szCs w:val="24"/>
        </w:rPr>
        <w:t>Los casos de abuso sexual a esa población vulnerable crece cada vez má</w:t>
      </w:r>
      <w:r w:rsidR="00516389">
        <w:rPr>
          <w:rFonts w:ascii="Arial" w:hAnsi="Arial" w:cs="Arial"/>
          <w:sz w:val="24"/>
          <w:szCs w:val="24"/>
        </w:rPr>
        <w:t xml:space="preserve">s y la protección a estos </w:t>
      </w:r>
      <w:r w:rsidR="00516389">
        <w:rPr>
          <w:rFonts w:ascii="Arial" w:hAnsi="Arial" w:cs="Arial"/>
          <w:noProof/>
          <w:sz w:val="24"/>
          <w:szCs w:val="24"/>
          <w:lang w:val="es-ES_tradnl" w:eastAsia="es-CO"/>
        </w:rPr>
        <w:t>como sujetos de derechos. Como ejemplo de lo ant</w:t>
      </w:r>
      <w:r w:rsidR="00C32CC7">
        <w:rPr>
          <w:rFonts w:ascii="Arial" w:hAnsi="Arial" w:cs="Arial"/>
          <w:noProof/>
          <w:sz w:val="24"/>
          <w:szCs w:val="24"/>
          <w:lang w:val="es-ES_tradnl" w:eastAsia="es-CO"/>
        </w:rPr>
        <w:t>erior tenemos las siguientes cifras del Instituto Nacional de Medicina Legal y Ciencias Forenses</w:t>
      </w:r>
      <w:r w:rsidR="00516389" w:rsidRPr="006451A0">
        <w:rPr>
          <w:rFonts w:ascii="Arial" w:hAnsi="Arial" w:cs="Arial"/>
          <w:noProof/>
          <w:sz w:val="24"/>
          <w:szCs w:val="24"/>
          <w:lang w:val="es-ES_tradnl" w:eastAsia="es-CO"/>
        </w:rPr>
        <w:t xml:space="preserve"> </w:t>
      </w:r>
      <w:r w:rsidR="00C32CC7">
        <w:rPr>
          <w:rFonts w:ascii="Arial" w:hAnsi="Arial" w:cs="Arial"/>
          <w:noProof/>
          <w:sz w:val="24"/>
          <w:szCs w:val="24"/>
          <w:lang w:val="es-ES_tradnl" w:eastAsia="es-CO"/>
        </w:rPr>
        <w:t>en los años 2016 y 2017:</w:t>
      </w:r>
    </w:p>
    <w:p w14:paraId="294D9E9C" w14:textId="77777777" w:rsidR="00B56F0B" w:rsidRDefault="00B56F0B" w:rsidP="00FB0EF5">
      <w:pPr>
        <w:spacing w:after="120" w:line="360" w:lineRule="auto"/>
        <w:jc w:val="both"/>
        <w:rPr>
          <w:rFonts w:ascii="Arial" w:hAnsi="Arial" w:cs="Arial"/>
          <w:noProof/>
          <w:sz w:val="24"/>
          <w:szCs w:val="24"/>
          <w:lang w:val="es-ES_tradnl" w:eastAsia="es-CO"/>
        </w:rPr>
      </w:pPr>
    </w:p>
    <w:p w14:paraId="21CA8D8E" w14:textId="77777777" w:rsidR="00B56F0B" w:rsidRDefault="00B56F0B" w:rsidP="00FB0EF5">
      <w:pPr>
        <w:spacing w:after="120" w:line="360" w:lineRule="auto"/>
        <w:jc w:val="both"/>
        <w:rPr>
          <w:rFonts w:ascii="Arial" w:hAnsi="Arial" w:cs="Arial"/>
          <w:noProof/>
          <w:sz w:val="24"/>
          <w:szCs w:val="24"/>
          <w:lang w:val="es-ES_tradnl" w:eastAsia="es-CO"/>
        </w:rPr>
      </w:pPr>
    </w:p>
    <w:p w14:paraId="435207FD" w14:textId="77777777" w:rsidR="00C32CC7" w:rsidRPr="00C32CC7" w:rsidRDefault="00C32CC7" w:rsidP="00C32CC7">
      <w:pPr>
        <w:spacing w:after="120" w:line="360" w:lineRule="auto"/>
        <w:jc w:val="center"/>
        <w:rPr>
          <w:rFonts w:ascii="Arial" w:hAnsi="Arial" w:cs="Arial"/>
          <w:b/>
          <w:noProof/>
          <w:sz w:val="24"/>
          <w:szCs w:val="24"/>
          <w:lang w:val="es-ES" w:eastAsia="es-CO"/>
        </w:rPr>
      </w:pPr>
      <w:r w:rsidRPr="00C32CC7">
        <w:rPr>
          <w:rFonts w:ascii="Arial" w:hAnsi="Arial" w:cs="Arial"/>
          <w:b/>
          <w:noProof/>
          <w:sz w:val="24"/>
          <w:szCs w:val="24"/>
          <w:lang w:val="es-ES" w:eastAsia="es-CO"/>
        </w:rPr>
        <w:t xml:space="preserve">TABLA </w:t>
      </w:r>
      <w:r>
        <w:rPr>
          <w:rFonts w:ascii="Arial" w:hAnsi="Arial" w:cs="Arial"/>
          <w:b/>
          <w:noProof/>
          <w:sz w:val="24"/>
          <w:szCs w:val="24"/>
          <w:lang w:val="es-ES" w:eastAsia="es-CO"/>
        </w:rPr>
        <w:t>1</w:t>
      </w:r>
    </w:p>
    <w:p w14:paraId="3D09442F" w14:textId="77777777" w:rsidR="00C32CC7" w:rsidRPr="00C32CC7" w:rsidRDefault="00C32CC7" w:rsidP="00C32CC7">
      <w:pPr>
        <w:spacing w:after="120" w:line="360" w:lineRule="auto"/>
        <w:jc w:val="center"/>
        <w:rPr>
          <w:rFonts w:ascii="Arial" w:hAnsi="Arial" w:cs="Arial"/>
          <w:i/>
          <w:noProof/>
          <w:sz w:val="24"/>
          <w:szCs w:val="24"/>
          <w:lang w:val="es-ES" w:eastAsia="es-CO"/>
        </w:rPr>
      </w:pPr>
      <w:r w:rsidRPr="00C32CC7">
        <w:rPr>
          <w:rFonts w:ascii="Arial" w:hAnsi="Arial" w:cs="Arial"/>
          <w:i/>
          <w:noProof/>
          <w:sz w:val="24"/>
          <w:szCs w:val="24"/>
          <w:lang w:val="es-ES" w:eastAsia="es-CO"/>
        </w:rPr>
        <w:t>Exámenes médico legales practicados en el año 2016 a menores de edad según ciclo de vida en Colombia por presunto abuso sexual</w:t>
      </w:r>
    </w:p>
    <w:tbl>
      <w:tblPr>
        <w:tblW w:w="8821" w:type="dxa"/>
        <w:jc w:val="center"/>
        <w:tblBorders>
          <w:bottom w:val="single" w:sz="4" w:space="0" w:color="auto"/>
        </w:tblBorders>
        <w:tblLook w:val="04A0" w:firstRow="1" w:lastRow="0" w:firstColumn="1" w:lastColumn="0" w:noHBand="0" w:noVBand="1"/>
      </w:tblPr>
      <w:tblGrid>
        <w:gridCol w:w="1471"/>
        <w:gridCol w:w="2192"/>
        <w:gridCol w:w="2216"/>
        <w:gridCol w:w="1471"/>
        <w:gridCol w:w="1471"/>
      </w:tblGrid>
      <w:tr w:rsidR="00C32CC7" w:rsidRPr="00C32CC7" w14:paraId="5109E337" w14:textId="77777777" w:rsidTr="00C32CC7">
        <w:trPr>
          <w:trHeight w:val="354"/>
          <w:jc w:val="center"/>
        </w:trPr>
        <w:tc>
          <w:tcPr>
            <w:tcW w:w="1471" w:type="dxa"/>
            <w:noWrap/>
            <w:hideMark/>
          </w:tcPr>
          <w:p w14:paraId="27899FA9"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92" w:type="dxa"/>
            <w:noWrap/>
            <w:hideMark/>
          </w:tcPr>
          <w:p w14:paraId="65BECF0A"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RANGOS DE EDAD</w:t>
            </w:r>
          </w:p>
        </w:tc>
        <w:tc>
          <w:tcPr>
            <w:tcW w:w="2216" w:type="dxa"/>
            <w:noWrap/>
            <w:hideMark/>
          </w:tcPr>
          <w:p w14:paraId="641998C2"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No. DE EXÁMENES</w:t>
            </w:r>
          </w:p>
        </w:tc>
        <w:tc>
          <w:tcPr>
            <w:tcW w:w="1471" w:type="dxa"/>
            <w:noWrap/>
            <w:hideMark/>
          </w:tcPr>
          <w:p w14:paraId="45063A6B"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HOMBRE</w:t>
            </w:r>
          </w:p>
        </w:tc>
        <w:tc>
          <w:tcPr>
            <w:tcW w:w="1471" w:type="dxa"/>
            <w:shd w:val="clear" w:color="auto" w:fill="auto"/>
            <w:noWrap/>
            <w:hideMark/>
          </w:tcPr>
          <w:p w14:paraId="1AFC02F3"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MUJER</w:t>
            </w:r>
          </w:p>
        </w:tc>
      </w:tr>
      <w:tr w:rsidR="00C32CC7" w:rsidRPr="00C32CC7" w14:paraId="07C1C1BB" w14:textId="77777777" w:rsidTr="00C32CC7">
        <w:trPr>
          <w:trHeight w:val="354"/>
          <w:jc w:val="center"/>
        </w:trPr>
        <w:tc>
          <w:tcPr>
            <w:tcW w:w="1471" w:type="dxa"/>
            <w:shd w:val="clear" w:color="auto" w:fill="auto"/>
            <w:noWrap/>
            <w:hideMark/>
          </w:tcPr>
          <w:p w14:paraId="035EA501"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92" w:type="dxa"/>
            <w:shd w:val="clear" w:color="auto" w:fill="auto"/>
            <w:noWrap/>
            <w:hideMark/>
          </w:tcPr>
          <w:p w14:paraId="60ECB9AE"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0 a 4</w:t>
            </w:r>
          </w:p>
        </w:tc>
        <w:tc>
          <w:tcPr>
            <w:tcW w:w="2216" w:type="dxa"/>
            <w:shd w:val="clear" w:color="auto" w:fill="auto"/>
            <w:noWrap/>
            <w:hideMark/>
          </w:tcPr>
          <w:p w14:paraId="749C2964"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2373</w:t>
            </w:r>
          </w:p>
        </w:tc>
        <w:tc>
          <w:tcPr>
            <w:tcW w:w="1471" w:type="dxa"/>
            <w:shd w:val="clear" w:color="auto" w:fill="auto"/>
            <w:noWrap/>
            <w:hideMark/>
          </w:tcPr>
          <w:p w14:paraId="25ECD1B9"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563</w:t>
            </w:r>
          </w:p>
        </w:tc>
        <w:tc>
          <w:tcPr>
            <w:tcW w:w="1471" w:type="dxa"/>
            <w:shd w:val="clear" w:color="auto" w:fill="auto"/>
            <w:noWrap/>
            <w:hideMark/>
          </w:tcPr>
          <w:p w14:paraId="09366B5F"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1810</w:t>
            </w:r>
          </w:p>
        </w:tc>
      </w:tr>
      <w:tr w:rsidR="00C32CC7" w:rsidRPr="00C32CC7" w14:paraId="7205F3B0" w14:textId="77777777" w:rsidTr="00C32CC7">
        <w:trPr>
          <w:trHeight w:val="354"/>
          <w:jc w:val="center"/>
        </w:trPr>
        <w:tc>
          <w:tcPr>
            <w:tcW w:w="1471" w:type="dxa"/>
            <w:shd w:val="clear" w:color="auto" w:fill="auto"/>
            <w:noWrap/>
            <w:hideMark/>
          </w:tcPr>
          <w:p w14:paraId="2F31C879"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92" w:type="dxa"/>
            <w:shd w:val="clear" w:color="auto" w:fill="auto"/>
            <w:noWrap/>
            <w:hideMark/>
          </w:tcPr>
          <w:p w14:paraId="23E4A3DF"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5 a 9</w:t>
            </w:r>
          </w:p>
        </w:tc>
        <w:tc>
          <w:tcPr>
            <w:tcW w:w="2216" w:type="dxa"/>
            <w:shd w:val="clear" w:color="auto" w:fill="auto"/>
            <w:noWrap/>
            <w:hideMark/>
          </w:tcPr>
          <w:p w14:paraId="156F7AA8"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4978</w:t>
            </w:r>
          </w:p>
        </w:tc>
        <w:tc>
          <w:tcPr>
            <w:tcW w:w="1471" w:type="dxa"/>
            <w:shd w:val="clear" w:color="auto" w:fill="auto"/>
            <w:noWrap/>
            <w:hideMark/>
          </w:tcPr>
          <w:p w14:paraId="70C12DEF"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1183</w:t>
            </w:r>
          </w:p>
        </w:tc>
        <w:tc>
          <w:tcPr>
            <w:tcW w:w="1471" w:type="dxa"/>
            <w:shd w:val="clear" w:color="auto" w:fill="auto"/>
            <w:noWrap/>
            <w:hideMark/>
          </w:tcPr>
          <w:p w14:paraId="3E0C1ECA"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3795</w:t>
            </w:r>
          </w:p>
        </w:tc>
      </w:tr>
      <w:tr w:rsidR="00C32CC7" w:rsidRPr="00C32CC7" w14:paraId="544D36AB" w14:textId="77777777" w:rsidTr="00C32CC7">
        <w:trPr>
          <w:trHeight w:val="354"/>
          <w:jc w:val="center"/>
        </w:trPr>
        <w:tc>
          <w:tcPr>
            <w:tcW w:w="1471" w:type="dxa"/>
            <w:shd w:val="clear" w:color="auto" w:fill="auto"/>
            <w:noWrap/>
            <w:hideMark/>
          </w:tcPr>
          <w:p w14:paraId="69628BA4"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92" w:type="dxa"/>
            <w:shd w:val="clear" w:color="auto" w:fill="auto"/>
            <w:noWrap/>
            <w:hideMark/>
          </w:tcPr>
          <w:p w14:paraId="0493F137"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10 a 14</w:t>
            </w:r>
          </w:p>
        </w:tc>
        <w:tc>
          <w:tcPr>
            <w:tcW w:w="2216" w:type="dxa"/>
            <w:shd w:val="clear" w:color="auto" w:fill="auto"/>
            <w:noWrap/>
            <w:hideMark/>
          </w:tcPr>
          <w:p w14:paraId="3A998E44"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6913</w:t>
            </w:r>
          </w:p>
        </w:tc>
        <w:tc>
          <w:tcPr>
            <w:tcW w:w="1471" w:type="dxa"/>
            <w:shd w:val="clear" w:color="auto" w:fill="auto"/>
            <w:noWrap/>
            <w:hideMark/>
          </w:tcPr>
          <w:p w14:paraId="2FF3A4E4"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725</w:t>
            </w:r>
          </w:p>
        </w:tc>
        <w:tc>
          <w:tcPr>
            <w:tcW w:w="1471" w:type="dxa"/>
            <w:shd w:val="clear" w:color="auto" w:fill="auto"/>
            <w:noWrap/>
            <w:hideMark/>
          </w:tcPr>
          <w:p w14:paraId="31097EAB"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6188</w:t>
            </w:r>
          </w:p>
        </w:tc>
      </w:tr>
      <w:tr w:rsidR="00C32CC7" w:rsidRPr="00C32CC7" w14:paraId="5019F3FD" w14:textId="77777777" w:rsidTr="00C32CC7">
        <w:trPr>
          <w:trHeight w:val="354"/>
          <w:jc w:val="center"/>
        </w:trPr>
        <w:tc>
          <w:tcPr>
            <w:tcW w:w="1471" w:type="dxa"/>
            <w:shd w:val="clear" w:color="auto" w:fill="auto"/>
            <w:noWrap/>
            <w:hideMark/>
          </w:tcPr>
          <w:p w14:paraId="31372214"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92" w:type="dxa"/>
            <w:shd w:val="clear" w:color="auto" w:fill="auto"/>
            <w:noWrap/>
            <w:hideMark/>
          </w:tcPr>
          <w:p w14:paraId="2B231895"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15 a 17</w:t>
            </w:r>
          </w:p>
        </w:tc>
        <w:tc>
          <w:tcPr>
            <w:tcW w:w="2216" w:type="dxa"/>
            <w:shd w:val="clear" w:color="auto" w:fill="auto"/>
            <w:noWrap/>
            <w:hideMark/>
          </w:tcPr>
          <w:p w14:paraId="7C72D242"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4152</w:t>
            </w:r>
          </w:p>
        </w:tc>
        <w:tc>
          <w:tcPr>
            <w:tcW w:w="1471" w:type="dxa"/>
            <w:shd w:val="clear" w:color="auto" w:fill="auto"/>
            <w:noWrap/>
            <w:hideMark/>
          </w:tcPr>
          <w:p w14:paraId="5BF92EC7"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421</w:t>
            </w:r>
          </w:p>
        </w:tc>
        <w:tc>
          <w:tcPr>
            <w:tcW w:w="1471" w:type="dxa"/>
            <w:shd w:val="clear" w:color="auto" w:fill="auto"/>
            <w:noWrap/>
            <w:hideMark/>
          </w:tcPr>
          <w:p w14:paraId="01846B6D"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3731</w:t>
            </w:r>
          </w:p>
        </w:tc>
      </w:tr>
      <w:tr w:rsidR="00C32CC7" w:rsidRPr="00C32CC7" w14:paraId="28CD321E" w14:textId="77777777" w:rsidTr="00C32CC7">
        <w:trPr>
          <w:trHeight w:val="301"/>
          <w:jc w:val="center"/>
        </w:trPr>
        <w:tc>
          <w:tcPr>
            <w:tcW w:w="1471" w:type="dxa"/>
            <w:shd w:val="clear" w:color="auto" w:fill="auto"/>
            <w:noWrap/>
            <w:hideMark/>
          </w:tcPr>
          <w:p w14:paraId="0EB1FE04"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TOTAL</w:t>
            </w:r>
          </w:p>
        </w:tc>
        <w:tc>
          <w:tcPr>
            <w:tcW w:w="2192" w:type="dxa"/>
            <w:shd w:val="clear" w:color="auto" w:fill="auto"/>
            <w:noWrap/>
            <w:hideMark/>
          </w:tcPr>
          <w:p w14:paraId="5D6A9ADF"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 </w:t>
            </w:r>
          </w:p>
        </w:tc>
        <w:tc>
          <w:tcPr>
            <w:tcW w:w="2216" w:type="dxa"/>
            <w:shd w:val="clear" w:color="auto" w:fill="auto"/>
            <w:noWrap/>
            <w:hideMark/>
          </w:tcPr>
          <w:p w14:paraId="5DC4386C"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18416</w:t>
            </w:r>
          </w:p>
        </w:tc>
        <w:tc>
          <w:tcPr>
            <w:tcW w:w="1471" w:type="dxa"/>
            <w:shd w:val="clear" w:color="auto" w:fill="auto"/>
            <w:noWrap/>
            <w:hideMark/>
          </w:tcPr>
          <w:p w14:paraId="4BB57827"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2892</w:t>
            </w:r>
          </w:p>
        </w:tc>
        <w:tc>
          <w:tcPr>
            <w:tcW w:w="1471" w:type="dxa"/>
            <w:shd w:val="clear" w:color="auto" w:fill="auto"/>
            <w:noWrap/>
            <w:hideMark/>
          </w:tcPr>
          <w:p w14:paraId="0BCF3FBF"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15524</w:t>
            </w:r>
          </w:p>
        </w:tc>
      </w:tr>
    </w:tbl>
    <w:p w14:paraId="6308776C" w14:textId="77777777" w:rsidR="00C32CC7" w:rsidRPr="00C32CC7" w:rsidRDefault="00C32CC7" w:rsidP="00C32CC7">
      <w:pPr>
        <w:spacing w:after="120" w:line="360" w:lineRule="auto"/>
        <w:jc w:val="both"/>
        <w:rPr>
          <w:rFonts w:ascii="Arial" w:hAnsi="Arial" w:cs="Arial"/>
          <w:noProof/>
          <w:sz w:val="24"/>
          <w:szCs w:val="24"/>
          <w:lang w:val="es-ES" w:eastAsia="es-CO"/>
        </w:rPr>
      </w:pPr>
    </w:p>
    <w:p w14:paraId="56DA51DC" w14:textId="77777777" w:rsidR="00C32CC7" w:rsidRPr="00C32CC7" w:rsidRDefault="00C32CC7" w:rsidP="00C32CC7">
      <w:pPr>
        <w:spacing w:after="120" w:line="360" w:lineRule="auto"/>
        <w:jc w:val="both"/>
        <w:rPr>
          <w:rFonts w:ascii="Arial" w:hAnsi="Arial" w:cs="Arial"/>
          <w:noProof/>
          <w:sz w:val="16"/>
          <w:szCs w:val="16"/>
          <w:lang w:val="es-ES" w:eastAsia="es-CO"/>
        </w:rPr>
      </w:pPr>
      <w:r w:rsidRPr="00C32CC7">
        <w:rPr>
          <w:rFonts w:ascii="Arial" w:hAnsi="Arial" w:cs="Arial"/>
          <w:i/>
          <w:noProof/>
          <w:sz w:val="16"/>
          <w:szCs w:val="16"/>
          <w:lang w:val="es-ES" w:eastAsia="es-CO"/>
        </w:rPr>
        <w:t xml:space="preserve">Nota: </w:t>
      </w:r>
      <w:r w:rsidRPr="00C32CC7">
        <w:rPr>
          <w:rFonts w:ascii="Arial" w:hAnsi="Arial" w:cs="Arial"/>
          <w:noProof/>
          <w:sz w:val="16"/>
          <w:szCs w:val="16"/>
          <w:lang w:val="es-ES" w:eastAsia="es-CO"/>
        </w:rPr>
        <w:t xml:space="preserve">Tomado de “Instituto Nacional de Medicina Legal y Ciencias Forenses”, Grupo Centro de Referencia Nacional sobre Violencia, Sistema de Información Clínica y Odontología Forense, Sistema de Información Nacional de Estadísticas Indirectas (FORENSIS) 2016. </w:t>
      </w:r>
    </w:p>
    <w:p w14:paraId="108346C8" w14:textId="77777777" w:rsidR="00C32CC7" w:rsidRPr="00C32CC7" w:rsidRDefault="00C32CC7" w:rsidP="00C32CC7">
      <w:pPr>
        <w:spacing w:after="120" w:line="360" w:lineRule="auto"/>
        <w:jc w:val="both"/>
        <w:rPr>
          <w:rFonts w:ascii="Arial" w:hAnsi="Arial" w:cs="Arial"/>
          <w:noProof/>
          <w:sz w:val="24"/>
          <w:szCs w:val="24"/>
          <w:lang w:val="es-ES" w:eastAsia="es-CO"/>
        </w:rPr>
      </w:pPr>
    </w:p>
    <w:p w14:paraId="173F22AD" w14:textId="77777777" w:rsidR="00C32CC7" w:rsidRPr="00C32CC7" w:rsidRDefault="00C32CC7" w:rsidP="00C32CC7">
      <w:pPr>
        <w:spacing w:after="120" w:line="360" w:lineRule="auto"/>
        <w:jc w:val="both"/>
        <w:rPr>
          <w:rFonts w:ascii="Arial" w:hAnsi="Arial" w:cs="Arial"/>
          <w:noProof/>
          <w:sz w:val="24"/>
          <w:szCs w:val="24"/>
          <w:lang w:val="es-ES" w:eastAsia="es-CO"/>
        </w:rPr>
      </w:pPr>
      <w:r>
        <w:rPr>
          <w:rFonts w:ascii="Arial" w:hAnsi="Arial" w:cs="Arial"/>
          <w:noProof/>
          <w:sz w:val="24"/>
          <w:szCs w:val="24"/>
          <w:lang w:val="es-ES" w:eastAsia="es-CO"/>
        </w:rPr>
        <w:t>Ahora bien,</w:t>
      </w:r>
      <w:r w:rsidRPr="00C32CC7">
        <w:rPr>
          <w:rFonts w:ascii="Arial" w:hAnsi="Arial" w:cs="Arial"/>
          <w:noProof/>
          <w:sz w:val="24"/>
          <w:szCs w:val="24"/>
          <w:lang w:val="es-ES" w:eastAsia="es-CO"/>
        </w:rPr>
        <w:t>, los exámanes médicos legales realizados en 2017 tuvieron el siguiente comportamiento estadistico:</w:t>
      </w:r>
    </w:p>
    <w:p w14:paraId="6C220D47" w14:textId="77777777" w:rsidR="00C32CC7" w:rsidRPr="00C32CC7" w:rsidRDefault="00C32CC7" w:rsidP="00C32CC7">
      <w:pPr>
        <w:spacing w:after="120" w:line="360" w:lineRule="auto"/>
        <w:jc w:val="center"/>
        <w:rPr>
          <w:rFonts w:ascii="Arial" w:hAnsi="Arial" w:cs="Arial"/>
          <w:b/>
          <w:noProof/>
          <w:sz w:val="24"/>
          <w:szCs w:val="24"/>
          <w:lang w:val="es-ES" w:eastAsia="es-CO"/>
        </w:rPr>
      </w:pPr>
      <w:r w:rsidRPr="00C32CC7">
        <w:rPr>
          <w:rFonts w:ascii="Arial" w:hAnsi="Arial" w:cs="Arial"/>
          <w:b/>
          <w:noProof/>
          <w:sz w:val="24"/>
          <w:szCs w:val="24"/>
          <w:lang w:val="es-ES" w:eastAsia="es-CO"/>
        </w:rPr>
        <w:t xml:space="preserve">TABLA </w:t>
      </w:r>
      <w:r>
        <w:rPr>
          <w:rFonts w:ascii="Arial" w:hAnsi="Arial" w:cs="Arial"/>
          <w:b/>
          <w:noProof/>
          <w:sz w:val="24"/>
          <w:szCs w:val="24"/>
          <w:lang w:val="es-ES" w:eastAsia="es-CO"/>
        </w:rPr>
        <w:t>2</w:t>
      </w:r>
    </w:p>
    <w:p w14:paraId="7164531A" w14:textId="77777777" w:rsidR="00C32CC7" w:rsidRPr="00C32CC7" w:rsidRDefault="00C32CC7" w:rsidP="00C32CC7">
      <w:pPr>
        <w:spacing w:after="120" w:line="360" w:lineRule="auto"/>
        <w:jc w:val="center"/>
        <w:rPr>
          <w:rFonts w:ascii="Arial" w:hAnsi="Arial" w:cs="Arial"/>
          <w:i/>
          <w:noProof/>
          <w:sz w:val="24"/>
          <w:szCs w:val="24"/>
          <w:lang w:val="es-ES" w:eastAsia="es-CO"/>
        </w:rPr>
      </w:pPr>
      <w:r w:rsidRPr="00C32CC7">
        <w:rPr>
          <w:rFonts w:ascii="Arial" w:hAnsi="Arial" w:cs="Arial"/>
          <w:i/>
          <w:noProof/>
          <w:sz w:val="24"/>
          <w:szCs w:val="24"/>
          <w:lang w:val="es-ES" w:eastAsia="es-CO"/>
        </w:rPr>
        <w:t>Exámenes médico legales practicados en el año 2017 a menores de edad según ciclo de vida en Colombia por presunto abuso sexual</w:t>
      </w:r>
    </w:p>
    <w:tbl>
      <w:tblPr>
        <w:tblW w:w="8448" w:type="dxa"/>
        <w:jc w:val="center"/>
        <w:tblLook w:val="04A0" w:firstRow="1" w:lastRow="0" w:firstColumn="1" w:lastColumn="0" w:noHBand="0" w:noVBand="1"/>
      </w:tblPr>
      <w:tblGrid>
        <w:gridCol w:w="1408"/>
        <w:gridCol w:w="2101"/>
        <w:gridCol w:w="2123"/>
        <w:gridCol w:w="1408"/>
        <w:gridCol w:w="1408"/>
      </w:tblGrid>
      <w:tr w:rsidR="00C32CC7" w:rsidRPr="00C32CC7" w14:paraId="038B26D2" w14:textId="77777777" w:rsidTr="005D3168">
        <w:trPr>
          <w:trHeight w:val="407"/>
          <w:jc w:val="center"/>
        </w:trPr>
        <w:tc>
          <w:tcPr>
            <w:tcW w:w="1408" w:type="dxa"/>
            <w:noWrap/>
            <w:hideMark/>
          </w:tcPr>
          <w:p w14:paraId="30D50575"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01" w:type="dxa"/>
            <w:noWrap/>
            <w:hideMark/>
          </w:tcPr>
          <w:p w14:paraId="773F1A77"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RANGOS DE EDAD</w:t>
            </w:r>
          </w:p>
        </w:tc>
        <w:tc>
          <w:tcPr>
            <w:tcW w:w="2123" w:type="dxa"/>
            <w:noWrap/>
            <w:hideMark/>
          </w:tcPr>
          <w:p w14:paraId="4AE73394"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No. DE EXÁMENES</w:t>
            </w:r>
          </w:p>
        </w:tc>
        <w:tc>
          <w:tcPr>
            <w:tcW w:w="1408" w:type="dxa"/>
            <w:noWrap/>
            <w:hideMark/>
          </w:tcPr>
          <w:p w14:paraId="22B2816B"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HOMBRE</w:t>
            </w:r>
          </w:p>
        </w:tc>
        <w:tc>
          <w:tcPr>
            <w:tcW w:w="1408" w:type="dxa"/>
            <w:noWrap/>
            <w:hideMark/>
          </w:tcPr>
          <w:p w14:paraId="351BB8BE"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MUJER</w:t>
            </w:r>
          </w:p>
        </w:tc>
      </w:tr>
      <w:tr w:rsidR="00C32CC7" w:rsidRPr="00C32CC7" w14:paraId="01AE3F7E" w14:textId="77777777" w:rsidTr="005D3168">
        <w:trPr>
          <w:trHeight w:val="319"/>
          <w:jc w:val="center"/>
        </w:trPr>
        <w:tc>
          <w:tcPr>
            <w:tcW w:w="1408" w:type="dxa"/>
            <w:shd w:val="clear" w:color="auto" w:fill="auto"/>
            <w:noWrap/>
            <w:hideMark/>
          </w:tcPr>
          <w:p w14:paraId="0C5CF8F2"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r w:rsidRPr="00C32CC7">
              <w:rPr>
                <w:rFonts w:ascii="Arial" w:hAnsi="Arial" w:cs="Arial"/>
                <w:b/>
                <w:bCs/>
                <w:noProof/>
                <w:sz w:val="24"/>
                <w:szCs w:val="24"/>
                <w:lang w:val="es-ES_tradnl" w:eastAsia="es-CO"/>
              </w:rPr>
              <w:tab/>
            </w:r>
          </w:p>
        </w:tc>
        <w:tc>
          <w:tcPr>
            <w:tcW w:w="2101" w:type="dxa"/>
            <w:shd w:val="clear" w:color="auto" w:fill="auto"/>
            <w:noWrap/>
            <w:hideMark/>
          </w:tcPr>
          <w:p w14:paraId="65C7074C"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0 a 4</w:t>
            </w:r>
          </w:p>
        </w:tc>
        <w:tc>
          <w:tcPr>
            <w:tcW w:w="2123" w:type="dxa"/>
            <w:shd w:val="clear" w:color="auto" w:fill="auto"/>
            <w:noWrap/>
            <w:hideMark/>
          </w:tcPr>
          <w:p w14:paraId="1F6FCEF8"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2648</w:t>
            </w:r>
          </w:p>
        </w:tc>
        <w:tc>
          <w:tcPr>
            <w:tcW w:w="1408" w:type="dxa"/>
            <w:shd w:val="clear" w:color="auto" w:fill="auto"/>
            <w:noWrap/>
            <w:hideMark/>
          </w:tcPr>
          <w:p w14:paraId="1F63CA33"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ab/>
            </w:r>
            <w:r w:rsidRPr="00C32CC7">
              <w:rPr>
                <w:rFonts w:ascii="Arial" w:hAnsi="Arial" w:cs="Arial"/>
                <w:noProof/>
                <w:sz w:val="24"/>
                <w:szCs w:val="24"/>
                <w:lang w:val="es-ES_tradnl" w:eastAsia="es-CO"/>
              </w:rPr>
              <w:tab/>
              <w:t>599</w:t>
            </w:r>
          </w:p>
        </w:tc>
        <w:tc>
          <w:tcPr>
            <w:tcW w:w="1408" w:type="dxa"/>
            <w:shd w:val="clear" w:color="auto" w:fill="auto"/>
            <w:noWrap/>
            <w:hideMark/>
          </w:tcPr>
          <w:p w14:paraId="5250D2A7"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2049</w:t>
            </w:r>
          </w:p>
        </w:tc>
      </w:tr>
      <w:tr w:rsidR="00C32CC7" w:rsidRPr="00C32CC7" w14:paraId="191F2871" w14:textId="77777777" w:rsidTr="005D3168">
        <w:trPr>
          <w:trHeight w:val="252"/>
          <w:jc w:val="center"/>
        </w:trPr>
        <w:tc>
          <w:tcPr>
            <w:tcW w:w="1408" w:type="dxa"/>
            <w:noWrap/>
            <w:hideMark/>
          </w:tcPr>
          <w:p w14:paraId="14C66AB1"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01" w:type="dxa"/>
            <w:noWrap/>
            <w:hideMark/>
          </w:tcPr>
          <w:p w14:paraId="1AF7B856"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5 a 9</w:t>
            </w:r>
          </w:p>
        </w:tc>
        <w:tc>
          <w:tcPr>
            <w:tcW w:w="2123" w:type="dxa"/>
            <w:noWrap/>
            <w:hideMark/>
          </w:tcPr>
          <w:p w14:paraId="2C676FEB"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5573</w:t>
            </w:r>
          </w:p>
        </w:tc>
        <w:tc>
          <w:tcPr>
            <w:tcW w:w="1408" w:type="dxa"/>
            <w:noWrap/>
            <w:hideMark/>
          </w:tcPr>
          <w:p w14:paraId="173D5873"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1211</w:t>
            </w:r>
          </w:p>
        </w:tc>
        <w:tc>
          <w:tcPr>
            <w:tcW w:w="1408" w:type="dxa"/>
            <w:noWrap/>
            <w:hideMark/>
          </w:tcPr>
          <w:p w14:paraId="2776F198"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4362</w:t>
            </w:r>
          </w:p>
        </w:tc>
      </w:tr>
      <w:tr w:rsidR="00C32CC7" w:rsidRPr="00C32CC7" w14:paraId="3647D605" w14:textId="77777777" w:rsidTr="005D3168">
        <w:trPr>
          <w:trHeight w:val="252"/>
          <w:jc w:val="center"/>
        </w:trPr>
        <w:tc>
          <w:tcPr>
            <w:tcW w:w="1408" w:type="dxa"/>
            <w:shd w:val="clear" w:color="auto" w:fill="auto"/>
            <w:noWrap/>
            <w:hideMark/>
          </w:tcPr>
          <w:p w14:paraId="5B5F30D2"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r w:rsidRPr="00C32CC7">
              <w:rPr>
                <w:rFonts w:ascii="Arial" w:hAnsi="Arial" w:cs="Arial"/>
                <w:b/>
                <w:bCs/>
                <w:noProof/>
                <w:sz w:val="24"/>
                <w:szCs w:val="24"/>
                <w:lang w:val="es-ES_tradnl" w:eastAsia="es-CO"/>
              </w:rPr>
              <w:tab/>
            </w:r>
          </w:p>
        </w:tc>
        <w:tc>
          <w:tcPr>
            <w:tcW w:w="2101" w:type="dxa"/>
            <w:shd w:val="clear" w:color="auto" w:fill="auto"/>
            <w:noWrap/>
            <w:hideMark/>
          </w:tcPr>
          <w:p w14:paraId="6DE0C3D9"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10 a 14</w:t>
            </w:r>
          </w:p>
        </w:tc>
        <w:tc>
          <w:tcPr>
            <w:tcW w:w="2123" w:type="dxa"/>
            <w:shd w:val="clear" w:color="auto" w:fill="auto"/>
            <w:noWrap/>
            <w:hideMark/>
          </w:tcPr>
          <w:p w14:paraId="62C65AAF"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9746</w:t>
            </w:r>
          </w:p>
        </w:tc>
        <w:tc>
          <w:tcPr>
            <w:tcW w:w="1408" w:type="dxa"/>
            <w:shd w:val="clear" w:color="auto" w:fill="auto"/>
            <w:noWrap/>
            <w:hideMark/>
          </w:tcPr>
          <w:p w14:paraId="6E91D957"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1026</w:t>
            </w:r>
          </w:p>
        </w:tc>
        <w:tc>
          <w:tcPr>
            <w:tcW w:w="1408" w:type="dxa"/>
            <w:shd w:val="clear" w:color="auto" w:fill="auto"/>
            <w:noWrap/>
            <w:hideMark/>
          </w:tcPr>
          <w:p w14:paraId="6C4BE2C7"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8720</w:t>
            </w:r>
          </w:p>
        </w:tc>
      </w:tr>
      <w:tr w:rsidR="00C32CC7" w:rsidRPr="00C32CC7" w14:paraId="0DA905A0" w14:textId="77777777" w:rsidTr="005D3168">
        <w:trPr>
          <w:trHeight w:val="273"/>
          <w:jc w:val="center"/>
        </w:trPr>
        <w:tc>
          <w:tcPr>
            <w:tcW w:w="1408" w:type="dxa"/>
            <w:noWrap/>
            <w:hideMark/>
          </w:tcPr>
          <w:p w14:paraId="7CEA3CAE"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01" w:type="dxa"/>
            <w:noWrap/>
            <w:hideMark/>
          </w:tcPr>
          <w:p w14:paraId="4126C843"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15 a 17</w:t>
            </w:r>
          </w:p>
        </w:tc>
        <w:tc>
          <w:tcPr>
            <w:tcW w:w="2123" w:type="dxa"/>
            <w:noWrap/>
            <w:hideMark/>
          </w:tcPr>
          <w:p w14:paraId="07DD7F4C"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2696</w:t>
            </w:r>
          </w:p>
        </w:tc>
        <w:tc>
          <w:tcPr>
            <w:tcW w:w="1408" w:type="dxa"/>
            <w:noWrap/>
            <w:hideMark/>
          </w:tcPr>
          <w:p w14:paraId="576928A0"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270</w:t>
            </w:r>
          </w:p>
        </w:tc>
        <w:tc>
          <w:tcPr>
            <w:tcW w:w="1408" w:type="dxa"/>
            <w:noWrap/>
            <w:hideMark/>
          </w:tcPr>
          <w:p w14:paraId="78486DCB"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2426</w:t>
            </w:r>
          </w:p>
        </w:tc>
      </w:tr>
      <w:tr w:rsidR="00C32CC7" w:rsidRPr="00C32CC7" w14:paraId="5F53B55D" w14:textId="77777777" w:rsidTr="005D3168">
        <w:trPr>
          <w:trHeight w:val="51"/>
          <w:jc w:val="center"/>
        </w:trPr>
        <w:tc>
          <w:tcPr>
            <w:tcW w:w="1408" w:type="dxa"/>
            <w:shd w:val="clear" w:color="auto" w:fill="auto"/>
            <w:noWrap/>
            <w:hideMark/>
          </w:tcPr>
          <w:p w14:paraId="28498EC9" w14:textId="77777777" w:rsidR="00C32CC7" w:rsidRPr="00C32CC7" w:rsidRDefault="00C32CC7" w:rsidP="00C32CC7">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TOTAL</w:t>
            </w:r>
          </w:p>
        </w:tc>
        <w:tc>
          <w:tcPr>
            <w:tcW w:w="2101" w:type="dxa"/>
            <w:shd w:val="clear" w:color="auto" w:fill="auto"/>
            <w:noWrap/>
            <w:hideMark/>
          </w:tcPr>
          <w:p w14:paraId="28F78FAF"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 </w:t>
            </w:r>
            <w:r w:rsidRPr="00C32CC7">
              <w:rPr>
                <w:rFonts w:ascii="Arial" w:hAnsi="Arial" w:cs="Arial"/>
                <w:noProof/>
                <w:sz w:val="24"/>
                <w:szCs w:val="24"/>
                <w:lang w:val="es-ES_tradnl" w:eastAsia="es-CO"/>
              </w:rPr>
              <w:tab/>
            </w:r>
          </w:p>
        </w:tc>
        <w:tc>
          <w:tcPr>
            <w:tcW w:w="2123" w:type="dxa"/>
            <w:shd w:val="clear" w:color="auto" w:fill="auto"/>
            <w:noWrap/>
            <w:hideMark/>
          </w:tcPr>
          <w:p w14:paraId="3C4FFE2C"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20663</w:t>
            </w:r>
          </w:p>
        </w:tc>
        <w:tc>
          <w:tcPr>
            <w:tcW w:w="1408" w:type="dxa"/>
            <w:shd w:val="clear" w:color="auto" w:fill="auto"/>
            <w:noWrap/>
            <w:hideMark/>
          </w:tcPr>
          <w:p w14:paraId="63D6B067"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3106</w:t>
            </w:r>
          </w:p>
        </w:tc>
        <w:tc>
          <w:tcPr>
            <w:tcW w:w="1408" w:type="dxa"/>
            <w:shd w:val="clear" w:color="auto" w:fill="auto"/>
            <w:noWrap/>
            <w:hideMark/>
          </w:tcPr>
          <w:p w14:paraId="3E3A5821" w14:textId="77777777" w:rsidR="00C32CC7" w:rsidRPr="00C32CC7" w:rsidRDefault="00C32CC7" w:rsidP="00C32CC7">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17557</w:t>
            </w:r>
          </w:p>
        </w:tc>
      </w:tr>
    </w:tbl>
    <w:p w14:paraId="2961A6A6" w14:textId="77777777" w:rsidR="00C32CC7" w:rsidRPr="00C32CC7" w:rsidRDefault="00C32CC7" w:rsidP="00C32CC7">
      <w:pPr>
        <w:spacing w:after="120" w:line="360" w:lineRule="auto"/>
        <w:jc w:val="both"/>
        <w:rPr>
          <w:rFonts w:ascii="Arial" w:hAnsi="Arial" w:cs="Arial"/>
          <w:noProof/>
          <w:sz w:val="16"/>
          <w:szCs w:val="16"/>
          <w:lang w:val="es-ES" w:eastAsia="es-CO"/>
        </w:rPr>
      </w:pPr>
      <w:r w:rsidRPr="00C32CC7">
        <w:rPr>
          <w:rFonts w:ascii="Arial" w:hAnsi="Arial" w:cs="Arial"/>
          <w:i/>
          <w:noProof/>
          <w:sz w:val="16"/>
          <w:szCs w:val="16"/>
          <w:lang w:val="es-ES" w:eastAsia="es-CO"/>
        </w:rPr>
        <w:t xml:space="preserve">Nota: </w:t>
      </w:r>
      <w:r w:rsidRPr="00C32CC7">
        <w:rPr>
          <w:rFonts w:ascii="Arial" w:hAnsi="Arial" w:cs="Arial"/>
          <w:noProof/>
          <w:sz w:val="16"/>
          <w:szCs w:val="16"/>
          <w:lang w:val="es-ES" w:eastAsia="es-CO"/>
        </w:rPr>
        <w:t xml:space="preserve">Tomado de “Instituto Nacional de Medicina Legal y Ciencias Forenses”, Grupo Centro de Referencia Nacional sobre Violencia, Sistema de Información Clínica y Odontología Forense, Sistema de Información Nacional de Estadísticas Indirectas (FORENSIS) 2017. </w:t>
      </w:r>
    </w:p>
    <w:p w14:paraId="2242FD6E" w14:textId="77777777" w:rsidR="00C32CC7" w:rsidRPr="00C32CC7" w:rsidRDefault="00C32CC7" w:rsidP="00C32CC7">
      <w:pPr>
        <w:spacing w:after="120" w:line="360" w:lineRule="auto"/>
        <w:jc w:val="both"/>
        <w:rPr>
          <w:rFonts w:ascii="Arial" w:hAnsi="Arial" w:cs="Arial"/>
          <w:noProof/>
          <w:sz w:val="24"/>
          <w:szCs w:val="24"/>
          <w:lang w:val="es-ES" w:eastAsia="es-CO"/>
        </w:rPr>
      </w:pPr>
    </w:p>
    <w:p w14:paraId="7F01379A" w14:textId="77777777" w:rsidR="00C32CC7" w:rsidRPr="00C32CC7" w:rsidRDefault="00C32CC7" w:rsidP="00C32CC7">
      <w:pPr>
        <w:spacing w:after="120" w:line="360" w:lineRule="auto"/>
        <w:jc w:val="both"/>
        <w:rPr>
          <w:rFonts w:ascii="Arial" w:hAnsi="Arial" w:cs="Arial"/>
          <w:noProof/>
          <w:sz w:val="24"/>
          <w:szCs w:val="24"/>
          <w:lang w:val="es-ES" w:eastAsia="es-CO"/>
        </w:rPr>
      </w:pPr>
      <w:r w:rsidRPr="00C32CC7">
        <w:rPr>
          <w:rFonts w:ascii="Arial" w:hAnsi="Arial" w:cs="Arial"/>
          <w:noProof/>
          <w:sz w:val="24"/>
          <w:szCs w:val="24"/>
          <w:lang w:val="es-ES" w:eastAsia="es-CO"/>
        </w:rPr>
        <w:t xml:space="preserve">El año 2017 fue el de más exámenes médico legales reportados por presunta violencia sexual en niños, niñas y adolescentes en Colombia, pues, respecto al 2016 tuvo un aumento del 8%. Nuevamente el rango de edad entre 10 a 14 años fue el principal receptor de violencia sexual.  </w:t>
      </w:r>
    </w:p>
    <w:p w14:paraId="6CBF1C8F" w14:textId="77777777" w:rsidR="004460DC" w:rsidRDefault="00C32CC7" w:rsidP="00C32CC7">
      <w:pPr>
        <w:spacing w:after="120" w:line="360" w:lineRule="auto"/>
        <w:jc w:val="both"/>
        <w:rPr>
          <w:rFonts w:ascii="Arial" w:hAnsi="Arial" w:cs="Arial"/>
          <w:noProof/>
          <w:sz w:val="24"/>
          <w:szCs w:val="24"/>
          <w:lang w:val="es-ES" w:eastAsia="es-CO"/>
        </w:rPr>
      </w:pPr>
      <w:r w:rsidRPr="00C32CC7">
        <w:rPr>
          <w:rFonts w:ascii="Arial" w:hAnsi="Arial" w:cs="Arial"/>
          <w:noProof/>
          <w:sz w:val="24"/>
          <w:szCs w:val="24"/>
          <w:lang w:val="es-ES" w:eastAsia="es-CO"/>
        </w:rPr>
        <w:t xml:space="preserve"> Ahora bien, así las cosas, en promedio los exámenes médicos legales realizados a menores de edad por ese Instituto, nos lleva a una afirmación compleja: “</w:t>
      </w:r>
      <w:r w:rsidRPr="00C32CC7">
        <w:rPr>
          <w:rFonts w:ascii="Arial" w:hAnsi="Arial" w:cs="Arial"/>
          <w:i/>
          <w:noProof/>
          <w:sz w:val="24"/>
          <w:szCs w:val="24"/>
          <w:lang w:val="es-ES" w:eastAsia="es-CO"/>
        </w:rPr>
        <w:t>Cada hora 2 niños o niñas son abusados sexualmente en Colombia</w:t>
      </w:r>
      <w:r w:rsidRPr="00C32CC7">
        <w:rPr>
          <w:rFonts w:ascii="Arial" w:hAnsi="Arial" w:cs="Arial"/>
          <w:noProof/>
          <w:sz w:val="24"/>
          <w:szCs w:val="24"/>
          <w:lang w:val="es-ES" w:eastAsia="es-CO"/>
        </w:rPr>
        <w:t>”, de esas víctimas el 84% corresponden al género femenino, lo cual sin duda configura una violencia basada en género, el género femenino.</w:t>
      </w:r>
    </w:p>
    <w:p w14:paraId="7AB77F79" w14:textId="77777777" w:rsidR="00C32CC7" w:rsidRPr="00C32CC7" w:rsidRDefault="00C32CC7" w:rsidP="00C32CC7">
      <w:pPr>
        <w:spacing w:after="120" w:line="360" w:lineRule="auto"/>
        <w:jc w:val="both"/>
        <w:rPr>
          <w:rFonts w:ascii="Arial" w:hAnsi="Arial" w:cs="Arial"/>
          <w:noProof/>
          <w:sz w:val="24"/>
          <w:szCs w:val="24"/>
          <w:lang w:val="es-ES" w:eastAsia="es-CO"/>
        </w:rPr>
      </w:pPr>
      <w:r w:rsidRPr="00C32CC7">
        <w:rPr>
          <w:rFonts w:ascii="Arial" w:hAnsi="Arial" w:cs="Arial"/>
          <w:noProof/>
          <w:sz w:val="24"/>
          <w:szCs w:val="24"/>
          <w:lang w:val="es-ES" w:eastAsia="es-CO"/>
        </w:rPr>
        <w:t xml:space="preserve"> Ese comportamiento lesivo de la integridad y formación sexual de niñas y adolescentes no resulta aislado ni mucho menos fruto de la coincidencia estadística sino que corresponde a variables sustanciales de cáracter histórico y socioculturales que tienen implicaciones multimidensionales en el desarrollo integral de la vida de las niñas y adolescentes y en últimas se constituye en una violación de derechos humanos en términos de equidad. </w:t>
      </w:r>
    </w:p>
    <w:p w14:paraId="6CA249F4" w14:textId="77777777" w:rsidR="00E70DB0" w:rsidRDefault="00E70DB0" w:rsidP="00FB0EF5">
      <w:pPr>
        <w:spacing w:after="120" w:line="360" w:lineRule="auto"/>
        <w:jc w:val="both"/>
        <w:rPr>
          <w:rFonts w:ascii="Arial" w:hAnsi="Arial" w:cs="Arial"/>
          <w:noProof/>
          <w:sz w:val="24"/>
          <w:szCs w:val="24"/>
          <w:lang w:val="es-ES_tradnl" w:eastAsia="es-CO"/>
        </w:rPr>
      </w:pPr>
      <w:r>
        <w:rPr>
          <w:rFonts w:ascii="Arial" w:hAnsi="Arial" w:cs="Arial"/>
          <w:noProof/>
          <w:sz w:val="24"/>
          <w:szCs w:val="24"/>
          <w:lang w:val="es-ES_tradnl" w:eastAsia="es-CO"/>
        </w:rPr>
        <w:t xml:space="preserve">Por otro lado, la </w:t>
      </w:r>
      <w:r w:rsidR="000E2BEB">
        <w:rPr>
          <w:rFonts w:ascii="Arial" w:hAnsi="Arial" w:cs="Arial"/>
          <w:noProof/>
          <w:sz w:val="24"/>
          <w:szCs w:val="24"/>
          <w:lang w:val="es-ES_tradnl" w:eastAsia="es-CO"/>
        </w:rPr>
        <w:t xml:space="preserve">protección a la </w:t>
      </w:r>
      <w:r>
        <w:rPr>
          <w:rFonts w:ascii="Arial" w:hAnsi="Arial" w:cs="Arial"/>
          <w:noProof/>
          <w:sz w:val="24"/>
          <w:szCs w:val="24"/>
          <w:lang w:val="es-ES_tradnl" w:eastAsia="es-CO"/>
        </w:rPr>
        <w:t xml:space="preserve">integridad física </w:t>
      </w:r>
      <w:r w:rsidR="000E2BEB">
        <w:rPr>
          <w:rFonts w:ascii="Arial" w:hAnsi="Arial" w:cs="Arial"/>
          <w:noProof/>
          <w:sz w:val="24"/>
          <w:szCs w:val="24"/>
          <w:lang w:val="es-ES_tradnl" w:eastAsia="es-CO"/>
        </w:rPr>
        <w:t>en Colombia a</w:t>
      </w:r>
      <w:r>
        <w:rPr>
          <w:rFonts w:ascii="Arial" w:hAnsi="Arial" w:cs="Arial"/>
          <w:noProof/>
          <w:sz w:val="24"/>
          <w:szCs w:val="24"/>
          <w:lang w:val="es-ES_tradnl" w:eastAsia="es-CO"/>
        </w:rPr>
        <w:t xml:space="preserve"> los menores de edad</w:t>
      </w:r>
      <w:r w:rsidR="000E2BEB">
        <w:rPr>
          <w:rFonts w:ascii="Arial" w:hAnsi="Arial" w:cs="Arial"/>
          <w:noProof/>
          <w:sz w:val="24"/>
          <w:szCs w:val="24"/>
          <w:lang w:val="es-ES_tradnl" w:eastAsia="es-CO"/>
        </w:rPr>
        <w:t>,</w:t>
      </w:r>
      <w:r>
        <w:rPr>
          <w:rFonts w:ascii="Arial" w:hAnsi="Arial" w:cs="Arial"/>
          <w:noProof/>
          <w:sz w:val="24"/>
          <w:szCs w:val="24"/>
          <w:lang w:val="es-ES_tradnl" w:eastAsia="es-CO"/>
        </w:rPr>
        <w:t xml:space="preserve"> muestra un pan</w:t>
      </w:r>
      <w:r w:rsidR="000E2BEB">
        <w:rPr>
          <w:rFonts w:ascii="Arial" w:hAnsi="Arial" w:cs="Arial"/>
          <w:noProof/>
          <w:sz w:val="24"/>
          <w:szCs w:val="24"/>
          <w:lang w:val="es-ES_tradnl" w:eastAsia="es-CO"/>
        </w:rPr>
        <w:t xml:space="preserve">orama igual de traumatico, </w:t>
      </w:r>
      <w:r>
        <w:rPr>
          <w:rFonts w:ascii="Arial" w:hAnsi="Arial" w:cs="Arial"/>
          <w:noProof/>
          <w:sz w:val="24"/>
          <w:szCs w:val="24"/>
          <w:lang w:val="es-ES_tradnl" w:eastAsia="es-CO"/>
        </w:rPr>
        <w:t xml:space="preserve"> </w:t>
      </w:r>
      <w:r w:rsidR="000E2BEB" w:rsidRPr="006451A0">
        <w:rPr>
          <w:rFonts w:ascii="Arial" w:hAnsi="Arial" w:cs="Arial"/>
          <w:noProof/>
          <w:sz w:val="24"/>
          <w:szCs w:val="24"/>
          <w:lang w:eastAsia="es-CO"/>
        </w:rPr>
        <w:t>toda vez que de acuerdo a la ONG “Save The Children” “</w:t>
      </w:r>
      <w:r w:rsidR="000E2BEB" w:rsidRPr="006451A0">
        <w:rPr>
          <w:rFonts w:ascii="Arial" w:hAnsi="Arial" w:cs="Arial"/>
          <w:bCs/>
          <w:i/>
          <w:noProof/>
          <w:sz w:val="24"/>
          <w:szCs w:val="24"/>
          <w:lang w:eastAsia="es-CO"/>
        </w:rPr>
        <w:t>Colombia ocupa el puesto 118</w:t>
      </w:r>
      <w:r w:rsidR="000E2BEB" w:rsidRPr="006451A0">
        <w:rPr>
          <w:rFonts w:ascii="Arial" w:hAnsi="Arial" w:cs="Arial"/>
          <w:i/>
          <w:noProof/>
          <w:sz w:val="24"/>
          <w:szCs w:val="24"/>
          <w:lang w:eastAsia="es-CO"/>
        </w:rPr>
        <w:t> de 172 países entre los que menos respetan los derechos de la niñez, por debajo de países como Ruanda, La India, Estados Palestinos o Ghana</w:t>
      </w:r>
      <w:r w:rsidR="000E2BEB" w:rsidRPr="006451A0">
        <w:rPr>
          <w:rFonts w:ascii="Arial" w:hAnsi="Arial" w:cs="Arial"/>
          <w:noProof/>
          <w:sz w:val="24"/>
          <w:szCs w:val="24"/>
          <w:lang w:eastAsia="es-CO"/>
        </w:rPr>
        <w:t>”. Ade</w:t>
      </w:r>
      <w:r w:rsidR="000E2BEB">
        <w:rPr>
          <w:rFonts w:ascii="Arial" w:hAnsi="Arial" w:cs="Arial"/>
          <w:noProof/>
          <w:sz w:val="24"/>
          <w:szCs w:val="24"/>
          <w:lang w:eastAsia="es-CO"/>
        </w:rPr>
        <w:t>más, señala a Colombia como el 3</w:t>
      </w:r>
      <w:r w:rsidR="000E2BEB" w:rsidRPr="006451A0">
        <w:rPr>
          <w:rFonts w:ascii="Arial" w:hAnsi="Arial" w:cs="Arial"/>
          <w:noProof/>
          <w:sz w:val="24"/>
          <w:szCs w:val="24"/>
          <w:lang w:eastAsia="es-CO"/>
        </w:rPr>
        <w:t>° país del mundo donde más se asesinan</w:t>
      </w:r>
      <w:r w:rsidR="000E2BEB" w:rsidRPr="006451A0">
        <w:rPr>
          <w:rFonts w:ascii="Arial" w:hAnsi="Arial" w:cs="Arial"/>
          <w:noProof/>
          <w:sz w:val="24"/>
          <w:szCs w:val="24"/>
          <w:lang w:val="es-ES_tradnl" w:eastAsia="es-CO"/>
        </w:rPr>
        <w:t xml:space="preserve"> niños y niñas</w:t>
      </w:r>
      <w:r w:rsidR="000E2BEB" w:rsidRPr="006451A0">
        <w:rPr>
          <w:rFonts w:ascii="Arial" w:hAnsi="Arial" w:cs="Arial"/>
          <w:noProof/>
          <w:sz w:val="24"/>
          <w:szCs w:val="24"/>
          <w:vertAlign w:val="superscript"/>
          <w:lang w:eastAsia="es-CO"/>
        </w:rPr>
        <w:footnoteReference w:id="1"/>
      </w:r>
      <w:r w:rsidR="000E2BEB" w:rsidRPr="006451A0">
        <w:rPr>
          <w:rFonts w:ascii="Arial" w:hAnsi="Arial" w:cs="Arial"/>
          <w:noProof/>
          <w:sz w:val="24"/>
          <w:szCs w:val="24"/>
          <w:lang w:eastAsia="es-CO"/>
        </w:rPr>
        <w:t>.</w:t>
      </w:r>
    </w:p>
    <w:p w14:paraId="4B93A464" w14:textId="77777777" w:rsidR="00B56F0B" w:rsidRDefault="00B56F0B" w:rsidP="00FB0EF5">
      <w:pPr>
        <w:spacing w:after="120" w:line="360" w:lineRule="auto"/>
        <w:jc w:val="both"/>
        <w:rPr>
          <w:rFonts w:ascii="Arial" w:hAnsi="Arial" w:cs="Arial"/>
          <w:sz w:val="24"/>
          <w:szCs w:val="24"/>
        </w:rPr>
      </w:pPr>
    </w:p>
    <w:p w14:paraId="28FBFF5E" w14:textId="1C465DD9" w:rsidR="002206E9" w:rsidRDefault="00B56F0B" w:rsidP="00FB0EF5">
      <w:pPr>
        <w:spacing w:after="120" w:line="360" w:lineRule="auto"/>
        <w:jc w:val="both"/>
        <w:rPr>
          <w:rFonts w:ascii="Arial" w:hAnsi="Arial" w:cs="Arial"/>
          <w:sz w:val="24"/>
          <w:szCs w:val="24"/>
        </w:rPr>
      </w:pPr>
      <w:r>
        <w:rPr>
          <w:rFonts w:ascii="Arial" w:hAnsi="Arial" w:cs="Arial"/>
          <w:sz w:val="24"/>
          <w:szCs w:val="24"/>
        </w:rPr>
        <w:t>Honorables Congresistas, en estos términos se presenta este proyecto d</w:t>
      </w:r>
      <w:r w:rsidR="000E2BEB">
        <w:rPr>
          <w:rFonts w:ascii="Arial" w:hAnsi="Arial" w:cs="Arial"/>
          <w:sz w:val="24"/>
          <w:szCs w:val="24"/>
        </w:rPr>
        <w:t>e</w:t>
      </w:r>
      <w:r>
        <w:rPr>
          <w:rFonts w:ascii="Arial" w:hAnsi="Arial" w:cs="Arial"/>
          <w:sz w:val="24"/>
          <w:szCs w:val="24"/>
        </w:rPr>
        <w:t xml:space="preserve"> </w:t>
      </w:r>
      <w:r w:rsidR="000E2BEB">
        <w:rPr>
          <w:rFonts w:ascii="Arial" w:hAnsi="Arial" w:cs="Arial"/>
          <w:sz w:val="24"/>
          <w:szCs w:val="24"/>
        </w:rPr>
        <w:t xml:space="preserve">ley, con el fin </w:t>
      </w:r>
      <w:r>
        <w:rPr>
          <w:rFonts w:ascii="Arial" w:hAnsi="Arial" w:cs="Arial"/>
          <w:sz w:val="24"/>
          <w:szCs w:val="24"/>
        </w:rPr>
        <w:t xml:space="preserve">de hacer valer la prevalencia del intéres superior de los niños, niñas y adolescentes en su integridad física y sexual en Colombia. </w:t>
      </w:r>
    </w:p>
    <w:p w14:paraId="528B1649" w14:textId="77777777" w:rsidR="00B56F0B" w:rsidRDefault="00B56F0B" w:rsidP="00FB0EF5">
      <w:pPr>
        <w:spacing w:after="120" w:line="360" w:lineRule="auto"/>
        <w:jc w:val="both"/>
        <w:rPr>
          <w:rFonts w:ascii="Arial" w:hAnsi="Arial" w:cs="Arial"/>
          <w:sz w:val="24"/>
          <w:szCs w:val="24"/>
        </w:rPr>
      </w:pPr>
    </w:p>
    <w:p w14:paraId="6F7EB2EA" w14:textId="073B782A" w:rsidR="00B56F0B" w:rsidRDefault="00B56F0B" w:rsidP="00FB0EF5">
      <w:pPr>
        <w:spacing w:after="120" w:line="360" w:lineRule="auto"/>
        <w:jc w:val="both"/>
        <w:rPr>
          <w:rFonts w:ascii="Arial" w:hAnsi="Arial" w:cs="Arial"/>
          <w:sz w:val="24"/>
          <w:szCs w:val="24"/>
        </w:rPr>
      </w:pPr>
      <w:r w:rsidRPr="00B56F0B">
        <w:rPr>
          <w:rFonts w:ascii="Arial" w:hAnsi="Arial" w:cs="Arial"/>
          <w:sz w:val="24"/>
          <w:szCs w:val="24"/>
        </w:rPr>
        <w:t>Atentamente,</w:t>
      </w:r>
    </w:p>
    <w:p w14:paraId="0F7DA0B4" w14:textId="77777777" w:rsidR="00B56F0B" w:rsidRDefault="00B56F0B" w:rsidP="00FB0EF5">
      <w:pPr>
        <w:spacing w:after="120" w:line="360" w:lineRule="auto"/>
        <w:jc w:val="both"/>
        <w:rPr>
          <w:rFonts w:ascii="Arial" w:hAnsi="Arial" w:cs="Arial"/>
          <w:sz w:val="24"/>
          <w:szCs w:val="24"/>
        </w:rPr>
      </w:pPr>
    </w:p>
    <w:p w14:paraId="618ACAC4" w14:textId="77777777" w:rsidR="00B56F0B" w:rsidRDefault="00B56F0B" w:rsidP="00FB0EF5">
      <w:pPr>
        <w:spacing w:after="120" w:line="360" w:lineRule="auto"/>
        <w:jc w:val="both"/>
        <w:rPr>
          <w:rFonts w:ascii="Arial" w:hAnsi="Arial" w:cs="Arial"/>
          <w:sz w:val="24"/>
          <w:szCs w:val="24"/>
        </w:rPr>
      </w:pPr>
    </w:p>
    <w:p w14:paraId="2491B5F2" w14:textId="1491E643" w:rsidR="00B56F0B" w:rsidRPr="00B56F0B" w:rsidRDefault="00B56F0B" w:rsidP="00B56F0B">
      <w:pPr>
        <w:spacing w:after="0" w:line="240" w:lineRule="auto"/>
        <w:jc w:val="both"/>
        <w:rPr>
          <w:rFonts w:ascii="Arial" w:hAnsi="Arial" w:cs="Arial"/>
          <w:b/>
          <w:sz w:val="24"/>
          <w:szCs w:val="24"/>
        </w:rPr>
      </w:pPr>
      <w:r w:rsidRPr="00B56F0B">
        <w:rPr>
          <w:rFonts w:ascii="Arial" w:hAnsi="Arial" w:cs="Arial"/>
          <w:b/>
          <w:sz w:val="24"/>
          <w:szCs w:val="24"/>
        </w:rPr>
        <w:t>KARINA ROJANO PALACIO</w:t>
      </w:r>
    </w:p>
    <w:p w14:paraId="04FDB83E" w14:textId="59E66599" w:rsidR="00B56F0B" w:rsidRPr="00B56F0B" w:rsidRDefault="00B56F0B" w:rsidP="00B56F0B">
      <w:pPr>
        <w:spacing w:after="0" w:line="240" w:lineRule="auto"/>
        <w:jc w:val="both"/>
        <w:rPr>
          <w:rFonts w:ascii="Arial" w:hAnsi="Arial" w:cs="Arial"/>
          <w:b/>
          <w:sz w:val="24"/>
          <w:szCs w:val="24"/>
        </w:rPr>
      </w:pPr>
      <w:r w:rsidRPr="00B56F0B">
        <w:rPr>
          <w:rFonts w:ascii="Arial" w:hAnsi="Arial" w:cs="Arial"/>
          <w:b/>
          <w:sz w:val="24"/>
          <w:szCs w:val="24"/>
        </w:rPr>
        <w:t>Representante a la Cámara</w:t>
      </w:r>
    </w:p>
    <w:p w14:paraId="66E4B849" w14:textId="77777777" w:rsidR="00B56F0B" w:rsidRPr="000E2BEB" w:rsidRDefault="00B56F0B" w:rsidP="00FB0EF5">
      <w:pPr>
        <w:spacing w:after="120" w:line="360" w:lineRule="auto"/>
        <w:jc w:val="both"/>
        <w:rPr>
          <w:rFonts w:ascii="Arial" w:hAnsi="Arial" w:cs="Arial"/>
          <w:sz w:val="24"/>
          <w:szCs w:val="24"/>
        </w:rPr>
      </w:pPr>
    </w:p>
    <w:sectPr w:rsidR="00B56F0B" w:rsidRPr="000E2BEB">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4E744D" w14:textId="77777777" w:rsidR="00421450" w:rsidRDefault="00421450" w:rsidP="000E2BEB">
      <w:pPr>
        <w:spacing w:after="0" w:line="240" w:lineRule="auto"/>
      </w:pPr>
      <w:r>
        <w:separator/>
      </w:r>
    </w:p>
  </w:endnote>
  <w:endnote w:type="continuationSeparator" w:id="0">
    <w:p w14:paraId="0824DAA9" w14:textId="77777777" w:rsidR="00421450" w:rsidRDefault="00421450" w:rsidP="000E2B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D3EB98" w14:textId="77777777" w:rsidR="00421450" w:rsidRDefault="00421450" w:rsidP="000E2BEB">
      <w:pPr>
        <w:spacing w:after="0" w:line="240" w:lineRule="auto"/>
      </w:pPr>
      <w:r>
        <w:separator/>
      </w:r>
    </w:p>
  </w:footnote>
  <w:footnote w:type="continuationSeparator" w:id="0">
    <w:p w14:paraId="36248A9A" w14:textId="77777777" w:rsidR="00421450" w:rsidRDefault="00421450" w:rsidP="000E2BEB">
      <w:pPr>
        <w:spacing w:after="0" w:line="240" w:lineRule="auto"/>
      </w:pPr>
      <w:r>
        <w:continuationSeparator/>
      </w:r>
    </w:p>
  </w:footnote>
  <w:footnote w:id="1">
    <w:p w14:paraId="1444C876" w14:textId="77777777" w:rsidR="000E2BEB" w:rsidRPr="00E15FCE" w:rsidRDefault="000E2BEB" w:rsidP="000E2BEB">
      <w:pPr>
        <w:pStyle w:val="Textonotapie"/>
      </w:pPr>
      <w:r>
        <w:rPr>
          <w:rStyle w:val="Refdenotaalpie"/>
        </w:rPr>
        <w:footnoteRef/>
      </w:r>
      <w:r>
        <w:t xml:space="preserve"> </w:t>
      </w:r>
      <w:r w:rsidRPr="00654BAA">
        <w:rPr>
          <w:rFonts w:ascii="Arial" w:hAnsi="Arial" w:cs="Arial"/>
          <w:sz w:val="16"/>
          <w:szCs w:val="16"/>
        </w:rPr>
        <w:t>ONG SAVE THE CHILDREN, Informe: En deuda con los niños, mayo de 2017</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6171FF"/>
    <w:multiLevelType w:val="multilevel"/>
    <w:tmpl w:val="B6185E7A"/>
    <w:lvl w:ilvl="0">
      <w:start w:val="1"/>
      <w:numFmt w:val="decimal"/>
      <w:lvlText w:val="%1."/>
      <w:lvlJc w:val="left"/>
      <w:pPr>
        <w:ind w:left="720" w:hanging="360"/>
      </w:pPr>
      <w:rPr>
        <w:rFonts w:hint="default"/>
        <w:b/>
      </w:rPr>
    </w:lvl>
    <w:lvl w:ilvl="1">
      <w:start w:val="1"/>
      <w:numFmt w:val="decimal"/>
      <w:isLgl/>
      <w:lvlText w:val="%1.%2"/>
      <w:lvlJc w:val="left"/>
      <w:pPr>
        <w:ind w:left="1120" w:hanging="40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 w15:restartNumberingAfterBreak="0">
    <w:nsid w:val="68E02D80"/>
    <w:multiLevelType w:val="hybridMultilevel"/>
    <w:tmpl w:val="B9B28394"/>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624D"/>
    <w:rsid w:val="00036EBC"/>
    <w:rsid w:val="000E2BEB"/>
    <w:rsid w:val="000F4883"/>
    <w:rsid w:val="000F6728"/>
    <w:rsid w:val="001409F7"/>
    <w:rsid w:val="00184D48"/>
    <w:rsid w:val="001E2954"/>
    <w:rsid w:val="002206E9"/>
    <w:rsid w:val="00254FD8"/>
    <w:rsid w:val="00421450"/>
    <w:rsid w:val="004460DC"/>
    <w:rsid w:val="00516389"/>
    <w:rsid w:val="005C3EB9"/>
    <w:rsid w:val="005C4C93"/>
    <w:rsid w:val="005E63BC"/>
    <w:rsid w:val="006A3BC4"/>
    <w:rsid w:val="00717C2D"/>
    <w:rsid w:val="007A523D"/>
    <w:rsid w:val="007F3F20"/>
    <w:rsid w:val="00804E11"/>
    <w:rsid w:val="00846494"/>
    <w:rsid w:val="008B77B8"/>
    <w:rsid w:val="00921EC5"/>
    <w:rsid w:val="00971069"/>
    <w:rsid w:val="00A237CA"/>
    <w:rsid w:val="00A746CD"/>
    <w:rsid w:val="00B46DE9"/>
    <w:rsid w:val="00B56F0B"/>
    <w:rsid w:val="00BE624D"/>
    <w:rsid w:val="00C31223"/>
    <w:rsid w:val="00C32CC7"/>
    <w:rsid w:val="00C407F4"/>
    <w:rsid w:val="00C74705"/>
    <w:rsid w:val="00CF49E9"/>
    <w:rsid w:val="00D92DBE"/>
    <w:rsid w:val="00DF02C6"/>
    <w:rsid w:val="00E52F13"/>
    <w:rsid w:val="00E70DB0"/>
    <w:rsid w:val="00EE1407"/>
    <w:rsid w:val="00F7402A"/>
    <w:rsid w:val="00F75B6B"/>
    <w:rsid w:val="00FB0EF5"/>
    <w:rsid w:val="00FE3BB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0F6205"/>
  <w15:chartTrackingRefBased/>
  <w15:docId w15:val="{C0480CF8-B1C4-4B7B-AF29-5F00D0FDD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F488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F4883"/>
    <w:rPr>
      <w:rFonts w:ascii="Segoe UI" w:hAnsi="Segoe UI" w:cs="Segoe UI"/>
      <w:sz w:val="18"/>
      <w:szCs w:val="18"/>
    </w:rPr>
  </w:style>
  <w:style w:type="paragraph" w:styleId="Prrafodelista">
    <w:name w:val="List Paragraph"/>
    <w:basedOn w:val="Normal"/>
    <w:uiPriority w:val="34"/>
    <w:qFormat/>
    <w:rsid w:val="00FB0EF5"/>
    <w:pPr>
      <w:ind w:left="720"/>
      <w:contextualSpacing/>
    </w:pPr>
  </w:style>
  <w:style w:type="paragraph" w:styleId="Textonotapie">
    <w:name w:val="footnote text"/>
    <w:basedOn w:val="Normal"/>
    <w:link w:val="TextonotapieCar"/>
    <w:uiPriority w:val="99"/>
    <w:unhideWhenUsed/>
    <w:rsid w:val="000E2BEB"/>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rsid w:val="000E2BEB"/>
    <w:rPr>
      <w:rFonts w:ascii="Calibri" w:eastAsia="Calibri" w:hAnsi="Calibri" w:cs="Times New Roman"/>
      <w:sz w:val="20"/>
      <w:szCs w:val="20"/>
    </w:rPr>
  </w:style>
  <w:style w:type="character" w:styleId="Refdenotaalpie">
    <w:name w:val="footnote reference"/>
    <w:uiPriority w:val="99"/>
    <w:unhideWhenUsed/>
    <w:rsid w:val="000E2BEB"/>
    <w:rPr>
      <w:vertAlign w:val="superscript"/>
    </w:rPr>
  </w:style>
  <w:style w:type="character" w:customStyle="1" w:styleId="il">
    <w:name w:val="il"/>
    <w:basedOn w:val="Fuentedeprrafopredeter"/>
    <w:rsid w:val="00F7402A"/>
  </w:style>
  <w:style w:type="paragraph" w:styleId="NormalWeb">
    <w:name w:val="Normal (Web)"/>
    <w:basedOn w:val="Normal"/>
    <w:uiPriority w:val="99"/>
    <w:semiHidden/>
    <w:unhideWhenUsed/>
    <w:rsid w:val="005E63BC"/>
    <w:rPr>
      <w:rFonts w:ascii="Times New Roman" w:hAnsi="Times New Roman" w:cs="Times New Roman"/>
      <w:sz w:val="24"/>
      <w:szCs w:val="24"/>
    </w:rPr>
  </w:style>
  <w:style w:type="character" w:styleId="Hipervnculo">
    <w:name w:val="Hyperlink"/>
    <w:basedOn w:val="Fuentedeprrafopredeter"/>
    <w:uiPriority w:val="99"/>
    <w:unhideWhenUsed/>
    <w:rsid w:val="008B77B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60911">
      <w:bodyDiv w:val="1"/>
      <w:marLeft w:val="0"/>
      <w:marRight w:val="0"/>
      <w:marTop w:val="0"/>
      <w:marBottom w:val="0"/>
      <w:divBdr>
        <w:top w:val="none" w:sz="0" w:space="0" w:color="auto"/>
        <w:left w:val="none" w:sz="0" w:space="0" w:color="auto"/>
        <w:bottom w:val="none" w:sz="0" w:space="0" w:color="auto"/>
        <w:right w:val="none" w:sz="0" w:space="0" w:color="auto"/>
      </w:divBdr>
    </w:div>
    <w:div w:id="33577606">
      <w:bodyDiv w:val="1"/>
      <w:marLeft w:val="0"/>
      <w:marRight w:val="0"/>
      <w:marTop w:val="0"/>
      <w:marBottom w:val="0"/>
      <w:divBdr>
        <w:top w:val="none" w:sz="0" w:space="0" w:color="auto"/>
        <w:left w:val="none" w:sz="0" w:space="0" w:color="auto"/>
        <w:bottom w:val="none" w:sz="0" w:space="0" w:color="auto"/>
        <w:right w:val="none" w:sz="0" w:space="0" w:color="auto"/>
      </w:divBdr>
    </w:div>
    <w:div w:id="62726016">
      <w:bodyDiv w:val="1"/>
      <w:marLeft w:val="0"/>
      <w:marRight w:val="0"/>
      <w:marTop w:val="0"/>
      <w:marBottom w:val="0"/>
      <w:divBdr>
        <w:top w:val="none" w:sz="0" w:space="0" w:color="auto"/>
        <w:left w:val="none" w:sz="0" w:space="0" w:color="auto"/>
        <w:bottom w:val="none" w:sz="0" w:space="0" w:color="auto"/>
        <w:right w:val="none" w:sz="0" w:space="0" w:color="auto"/>
      </w:divBdr>
    </w:div>
    <w:div w:id="65299234">
      <w:bodyDiv w:val="1"/>
      <w:marLeft w:val="0"/>
      <w:marRight w:val="0"/>
      <w:marTop w:val="0"/>
      <w:marBottom w:val="0"/>
      <w:divBdr>
        <w:top w:val="none" w:sz="0" w:space="0" w:color="auto"/>
        <w:left w:val="none" w:sz="0" w:space="0" w:color="auto"/>
        <w:bottom w:val="none" w:sz="0" w:space="0" w:color="auto"/>
        <w:right w:val="none" w:sz="0" w:space="0" w:color="auto"/>
      </w:divBdr>
    </w:div>
    <w:div w:id="100757832">
      <w:bodyDiv w:val="1"/>
      <w:marLeft w:val="0"/>
      <w:marRight w:val="0"/>
      <w:marTop w:val="0"/>
      <w:marBottom w:val="0"/>
      <w:divBdr>
        <w:top w:val="none" w:sz="0" w:space="0" w:color="auto"/>
        <w:left w:val="none" w:sz="0" w:space="0" w:color="auto"/>
        <w:bottom w:val="none" w:sz="0" w:space="0" w:color="auto"/>
        <w:right w:val="none" w:sz="0" w:space="0" w:color="auto"/>
      </w:divBdr>
    </w:div>
    <w:div w:id="135613967">
      <w:bodyDiv w:val="1"/>
      <w:marLeft w:val="0"/>
      <w:marRight w:val="0"/>
      <w:marTop w:val="0"/>
      <w:marBottom w:val="0"/>
      <w:divBdr>
        <w:top w:val="none" w:sz="0" w:space="0" w:color="auto"/>
        <w:left w:val="none" w:sz="0" w:space="0" w:color="auto"/>
        <w:bottom w:val="none" w:sz="0" w:space="0" w:color="auto"/>
        <w:right w:val="none" w:sz="0" w:space="0" w:color="auto"/>
      </w:divBdr>
    </w:div>
    <w:div w:id="179979673">
      <w:bodyDiv w:val="1"/>
      <w:marLeft w:val="0"/>
      <w:marRight w:val="0"/>
      <w:marTop w:val="0"/>
      <w:marBottom w:val="0"/>
      <w:divBdr>
        <w:top w:val="none" w:sz="0" w:space="0" w:color="auto"/>
        <w:left w:val="none" w:sz="0" w:space="0" w:color="auto"/>
        <w:bottom w:val="none" w:sz="0" w:space="0" w:color="auto"/>
        <w:right w:val="none" w:sz="0" w:space="0" w:color="auto"/>
      </w:divBdr>
    </w:div>
    <w:div w:id="185604176">
      <w:bodyDiv w:val="1"/>
      <w:marLeft w:val="0"/>
      <w:marRight w:val="0"/>
      <w:marTop w:val="0"/>
      <w:marBottom w:val="0"/>
      <w:divBdr>
        <w:top w:val="none" w:sz="0" w:space="0" w:color="auto"/>
        <w:left w:val="none" w:sz="0" w:space="0" w:color="auto"/>
        <w:bottom w:val="none" w:sz="0" w:space="0" w:color="auto"/>
        <w:right w:val="none" w:sz="0" w:space="0" w:color="auto"/>
      </w:divBdr>
    </w:div>
    <w:div w:id="197201612">
      <w:bodyDiv w:val="1"/>
      <w:marLeft w:val="0"/>
      <w:marRight w:val="0"/>
      <w:marTop w:val="0"/>
      <w:marBottom w:val="0"/>
      <w:divBdr>
        <w:top w:val="none" w:sz="0" w:space="0" w:color="auto"/>
        <w:left w:val="none" w:sz="0" w:space="0" w:color="auto"/>
        <w:bottom w:val="none" w:sz="0" w:space="0" w:color="auto"/>
        <w:right w:val="none" w:sz="0" w:space="0" w:color="auto"/>
      </w:divBdr>
    </w:div>
    <w:div w:id="236944008">
      <w:bodyDiv w:val="1"/>
      <w:marLeft w:val="0"/>
      <w:marRight w:val="0"/>
      <w:marTop w:val="0"/>
      <w:marBottom w:val="0"/>
      <w:divBdr>
        <w:top w:val="none" w:sz="0" w:space="0" w:color="auto"/>
        <w:left w:val="none" w:sz="0" w:space="0" w:color="auto"/>
        <w:bottom w:val="none" w:sz="0" w:space="0" w:color="auto"/>
        <w:right w:val="none" w:sz="0" w:space="0" w:color="auto"/>
      </w:divBdr>
    </w:div>
    <w:div w:id="301694678">
      <w:bodyDiv w:val="1"/>
      <w:marLeft w:val="0"/>
      <w:marRight w:val="0"/>
      <w:marTop w:val="0"/>
      <w:marBottom w:val="0"/>
      <w:divBdr>
        <w:top w:val="none" w:sz="0" w:space="0" w:color="auto"/>
        <w:left w:val="none" w:sz="0" w:space="0" w:color="auto"/>
        <w:bottom w:val="none" w:sz="0" w:space="0" w:color="auto"/>
        <w:right w:val="none" w:sz="0" w:space="0" w:color="auto"/>
      </w:divBdr>
    </w:div>
    <w:div w:id="352466018">
      <w:bodyDiv w:val="1"/>
      <w:marLeft w:val="0"/>
      <w:marRight w:val="0"/>
      <w:marTop w:val="0"/>
      <w:marBottom w:val="0"/>
      <w:divBdr>
        <w:top w:val="none" w:sz="0" w:space="0" w:color="auto"/>
        <w:left w:val="none" w:sz="0" w:space="0" w:color="auto"/>
        <w:bottom w:val="none" w:sz="0" w:space="0" w:color="auto"/>
        <w:right w:val="none" w:sz="0" w:space="0" w:color="auto"/>
      </w:divBdr>
    </w:div>
    <w:div w:id="376249106">
      <w:bodyDiv w:val="1"/>
      <w:marLeft w:val="0"/>
      <w:marRight w:val="0"/>
      <w:marTop w:val="0"/>
      <w:marBottom w:val="0"/>
      <w:divBdr>
        <w:top w:val="none" w:sz="0" w:space="0" w:color="auto"/>
        <w:left w:val="none" w:sz="0" w:space="0" w:color="auto"/>
        <w:bottom w:val="none" w:sz="0" w:space="0" w:color="auto"/>
        <w:right w:val="none" w:sz="0" w:space="0" w:color="auto"/>
      </w:divBdr>
    </w:div>
    <w:div w:id="394278166">
      <w:bodyDiv w:val="1"/>
      <w:marLeft w:val="0"/>
      <w:marRight w:val="0"/>
      <w:marTop w:val="0"/>
      <w:marBottom w:val="0"/>
      <w:divBdr>
        <w:top w:val="none" w:sz="0" w:space="0" w:color="auto"/>
        <w:left w:val="none" w:sz="0" w:space="0" w:color="auto"/>
        <w:bottom w:val="none" w:sz="0" w:space="0" w:color="auto"/>
        <w:right w:val="none" w:sz="0" w:space="0" w:color="auto"/>
      </w:divBdr>
    </w:div>
    <w:div w:id="488978994">
      <w:bodyDiv w:val="1"/>
      <w:marLeft w:val="0"/>
      <w:marRight w:val="0"/>
      <w:marTop w:val="0"/>
      <w:marBottom w:val="0"/>
      <w:divBdr>
        <w:top w:val="none" w:sz="0" w:space="0" w:color="auto"/>
        <w:left w:val="none" w:sz="0" w:space="0" w:color="auto"/>
        <w:bottom w:val="none" w:sz="0" w:space="0" w:color="auto"/>
        <w:right w:val="none" w:sz="0" w:space="0" w:color="auto"/>
      </w:divBdr>
    </w:div>
    <w:div w:id="499467240">
      <w:bodyDiv w:val="1"/>
      <w:marLeft w:val="0"/>
      <w:marRight w:val="0"/>
      <w:marTop w:val="0"/>
      <w:marBottom w:val="0"/>
      <w:divBdr>
        <w:top w:val="none" w:sz="0" w:space="0" w:color="auto"/>
        <w:left w:val="none" w:sz="0" w:space="0" w:color="auto"/>
        <w:bottom w:val="none" w:sz="0" w:space="0" w:color="auto"/>
        <w:right w:val="none" w:sz="0" w:space="0" w:color="auto"/>
      </w:divBdr>
    </w:div>
    <w:div w:id="517935382">
      <w:bodyDiv w:val="1"/>
      <w:marLeft w:val="0"/>
      <w:marRight w:val="0"/>
      <w:marTop w:val="0"/>
      <w:marBottom w:val="0"/>
      <w:divBdr>
        <w:top w:val="none" w:sz="0" w:space="0" w:color="auto"/>
        <w:left w:val="none" w:sz="0" w:space="0" w:color="auto"/>
        <w:bottom w:val="none" w:sz="0" w:space="0" w:color="auto"/>
        <w:right w:val="none" w:sz="0" w:space="0" w:color="auto"/>
      </w:divBdr>
    </w:div>
    <w:div w:id="600994874">
      <w:bodyDiv w:val="1"/>
      <w:marLeft w:val="0"/>
      <w:marRight w:val="0"/>
      <w:marTop w:val="0"/>
      <w:marBottom w:val="0"/>
      <w:divBdr>
        <w:top w:val="none" w:sz="0" w:space="0" w:color="auto"/>
        <w:left w:val="none" w:sz="0" w:space="0" w:color="auto"/>
        <w:bottom w:val="none" w:sz="0" w:space="0" w:color="auto"/>
        <w:right w:val="none" w:sz="0" w:space="0" w:color="auto"/>
      </w:divBdr>
    </w:div>
    <w:div w:id="684213984">
      <w:bodyDiv w:val="1"/>
      <w:marLeft w:val="0"/>
      <w:marRight w:val="0"/>
      <w:marTop w:val="0"/>
      <w:marBottom w:val="0"/>
      <w:divBdr>
        <w:top w:val="none" w:sz="0" w:space="0" w:color="auto"/>
        <w:left w:val="none" w:sz="0" w:space="0" w:color="auto"/>
        <w:bottom w:val="none" w:sz="0" w:space="0" w:color="auto"/>
        <w:right w:val="none" w:sz="0" w:space="0" w:color="auto"/>
      </w:divBdr>
    </w:div>
    <w:div w:id="767386814">
      <w:bodyDiv w:val="1"/>
      <w:marLeft w:val="0"/>
      <w:marRight w:val="0"/>
      <w:marTop w:val="0"/>
      <w:marBottom w:val="0"/>
      <w:divBdr>
        <w:top w:val="none" w:sz="0" w:space="0" w:color="auto"/>
        <w:left w:val="none" w:sz="0" w:space="0" w:color="auto"/>
        <w:bottom w:val="none" w:sz="0" w:space="0" w:color="auto"/>
        <w:right w:val="none" w:sz="0" w:space="0" w:color="auto"/>
      </w:divBdr>
    </w:div>
    <w:div w:id="769007954">
      <w:bodyDiv w:val="1"/>
      <w:marLeft w:val="0"/>
      <w:marRight w:val="0"/>
      <w:marTop w:val="0"/>
      <w:marBottom w:val="0"/>
      <w:divBdr>
        <w:top w:val="none" w:sz="0" w:space="0" w:color="auto"/>
        <w:left w:val="none" w:sz="0" w:space="0" w:color="auto"/>
        <w:bottom w:val="none" w:sz="0" w:space="0" w:color="auto"/>
        <w:right w:val="none" w:sz="0" w:space="0" w:color="auto"/>
      </w:divBdr>
    </w:div>
    <w:div w:id="786267948">
      <w:bodyDiv w:val="1"/>
      <w:marLeft w:val="0"/>
      <w:marRight w:val="0"/>
      <w:marTop w:val="0"/>
      <w:marBottom w:val="0"/>
      <w:divBdr>
        <w:top w:val="none" w:sz="0" w:space="0" w:color="auto"/>
        <w:left w:val="none" w:sz="0" w:space="0" w:color="auto"/>
        <w:bottom w:val="none" w:sz="0" w:space="0" w:color="auto"/>
        <w:right w:val="none" w:sz="0" w:space="0" w:color="auto"/>
      </w:divBdr>
    </w:div>
    <w:div w:id="868300840">
      <w:bodyDiv w:val="1"/>
      <w:marLeft w:val="0"/>
      <w:marRight w:val="0"/>
      <w:marTop w:val="0"/>
      <w:marBottom w:val="0"/>
      <w:divBdr>
        <w:top w:val="none" w:sz="0" w:space="0" w:color="auto"/>
        <w:left w:val="none" w:sz="0" w:space="0" w:color="auto"/>
        <w:bottom w:val="none" w:sz="0" w:space="0" w:color="auto"/>
        <w:right w:val="none" w:sz="0" w:space="0" w:color="auto"/>
      </w:divBdr>
    </w:div>
    <w:div w:id="1022971124">
      <w:bodyDiv w:val="1"/>
      <w:marLeft w:val="0"/>
      <w:marRight w:val="0"/>
      <w:marTop w:val="0"/>
      <w:marBottom w:val="0"/>
      <w:divBdr>
        <w:top w:val="none" w:sz="0" w:space="0" w:color="auto"/>
        <w:left w:val="none" w:sz="0" w:space="0" w:color="auto"/>
        <w:bottom w:val="none" w:sz="0" w:space="0" w:color="auto"/>
        <w:right w:val="none" w:sz="0" w:space="0" w:color="auto"/>
      </w:divBdr>
    </w:div>
    <w:div w:id="1033262108">
      <w:bodyDiv w:val="1"/>
      <w:marLeft w:val="0"/>
      <w:marRight w:val="0"/>
      <w:marTop w:val="0"/>
      <w:marBottom w:val="0"/>
      <w:divBdr>
        <w:top w:val="none" w:sz="0" w:space="0" w:color="auto"/>
        <w:left w:val="none" w:sz="0" w:space="0" w:color="auto"/>
        <w:bottom w:val="none" w:sz="0" w:space="0" w:color="auto"/>
        <w:right w:val="none" w:sz="0" w:space="0" w:color="auto"/>
      </w:divBdr>
    </w:div>
    <w:div w:id="1112821852">
      <w:bodyDiv w:val="1"/>
      <w:marLeft w:val="0"/>
      <w:marRight w:val="0"/>
      <w:marTop w:val="0"/>
      <w:marBottom w:val="0"/>
      <w:divBdr>
        <w:top w:val="none" w:sz="0" w:space="0" w:color="auto"/>
        <w:left w:val="none" w:sz="0" w:space="0" w:color="auto"/>
        <w:bottom w:val="none" w:sz="0" w:space="0" w:color="auto"/>
        <w:right w:val="none" w:sz="0" w:space="0" w:color="auto"/>
      </w:divBdr>
    </w:div>
    <w:div w:id="1268271586">
      <w:bodyDiv w:val="1"/>
      <w:marLeft w:val="0"/>
      <w:marRight w:val="0"/>
      <w:marTop w:val="0"/>
      <w:marBottom w:val="0"/>
      <w:divBdr>
        <w:top w:val="none" w:sz="0" w:space="0" w:color="auto"/>
        <w:left w:val="none" w:sz="0" w:space="0" w:color="auto"/>
        <w:bottom w:val="none" w:sz="0" w:space="0" w:color="auto"/>
        <w:right w:val="none" w:sz="0" w:space="0" w:color="auto"/>
      </w:divBdr>
    </w:div>
    <w:div w:id="1313293447">
      <w:bodyDiv w:val="1"/>
      <w:marLeft w:val="0"/>
      <w:marRight w:val="0"/>
      <w:marTop w:val="0"/>
      <w:marBottom w:val="0"/>
      <w:divBdr>
        <w:top w:val="none" w:sz="0" w:space="0" w:color="auto"/>
        <w:left w:val="none" w:sz="0" w:space="0" w:color="auto"/>
        <w:bottom w:val="none" w:sz="0" w:space="0" w:color="auto"/>
        <w:right w:val="none" w:sz="0" w:space="0" w:color="auto"/>
      </w:divBdr>
    </w:div>
    <w:div w:id="1345084903">
      <w:bodyDiv w:val="1"/>
      <w:marLeft w:val="0"/>
      <w:marRight w:val="0"/>
      <w:marTop w:val="0"/>
      <w:marBottom w:val="0"/>
      <w:divBdr>
        <w:top w:val="none" w:sz="0" w:space="0" w:color="auto"/>
        <w:left w:val="none" w:sz="0" w:space="0" w:color="auto"/>
        <w:bottom w:val="none" w:sz="0" w:space="0" w:color="auto"/>
        <w:right w:val="none" w:sz="0" w:space="0" w:color="auto"/>
      </w:divBdr>
    </w:div>
    <w:div w:id="1397127218">
      <w:bodyDiv w:val="1"/>
      <w:marLeft w:val="0"/>
      <w:marRight w:val="0"/>
      <w:marTop w:val="0"/>
      <w:marBottom w:val="0"/>
      <w:divBdr>
        <w:top w:val="none" w:sz="0" w:space="0" w:color="auto"/>
        <w:left w:val="none" w:sz="0" w:space="0" w:color="auto"/>
        <w:bottom w:val="none" w:sz="0" w:space="0" w:color="auto"/>
        <w:right w:val="none" w:sz="0" w:space="0" w:color="auto"/>
      </w:divBdr>
    </w:div>
    <w:div w:id="1402676607">
      <w:bodyDiv w:val="1"/>
      <w:marLeft w:val="0"/>
      <w:marRight w:val="0"/>
      <w:marTop w:val="0"/>
      <w:marBottom w:val="0"/>
      <w:divBdr>
        <w:top w:val="none" w:sz="0" w:space="0" w:color="auto"/>
        <w:left w:val="none" w:sz="0" w:space="0" w:color="auto"/>
        <w:bottom w:val="none" w:sz="0" w:space="0" w:color="auto"/>
        <w:right w:val="none" w:sz="0" w:space="0" w:color="auto"/>
      </w:divBdr>
    </w:div>
    <w:div w:id="1475872049">
      <w:bodyDiv w:val="1"/>
      <w:marLeft w:val="0"/>
      <w:marRight w:val="0"/>
      <w:marTop w:val="0"/>
      <w:marBottom w:val="0"/>
      <w:divBdr>
        <w:top w:val="none" w:sz="0" w:space="0" w:color="auto"/>
        <w:left w:val="none" w:sz="0" w:space="0" w:color="auto"/>
        <w:bottom w:val="none" w:sz="0" w:space="0" w:color="auto"/>
        <w:right w:val="none" w:sz="0" w:space="0" w:color="auto"/>
      </w:divBdr>
    </w:div>
    <w:div w:id="1490756303">
      <w:bodyDiv w:val="1"/>
      <w:marLeft w:val="0"/>
      <w:marRight w:val="0"/>
      <w:marTop w:val="0"/>
      <w:marBottom w:val="0"/>
      <w:divBdr>
        <w:top w:val="none" w:sz="0" w:space="0" w:color="auto"/>
        <w:left w:val="none" w:sz="0" w:space="0" w:color="auto"/>
        <w:bottom w:val="none" w:sz="0" w:space="0" w:color="auto"/>
        <w:right w:val="none" w:sz="0" w:space="0" w:color="auto"/>
      </w:divBdr>
    </w:div>
    <w:div w:id="1492867699">
      <w:bodyDiv w:val="1"/>
      <w:marLeft w:val="0"/>
      <w:marRight w:val="0"/>
      <w:marTop w:val="0"/>
      <w:marBottom w:val="0"/>
      <w:divBdr>
        <w:top w:val="none" w:sz="0" w:space="0" w:color="auto"/>
        <w:left w:val="none" w:sz="0" w:space="0" w:color="auto"/>
        <w:bottom w:val="none" w:sz="0" w:space="0" w:color="auto"/>
        <w:right w:val="none" w:sz="0" w:space="0" w:color="auto"/>
      </w:divBdr>
    </w:div>
    <w:div w:id="1521435284">
      <w:bodyDiv w:val="1"/>
      <w:marLeft w:val="0"/>
      <w:marRight w:val="0"/>
      <w:marTop w:val="0"/>
      <w:marBottom w:val="0"/>
      <w:divBdr>
        <w:top w:val="none" w:sz="0" w:space="0" w:color="auto"/>
        <w:left w:val="none" w:sz="0" w:space="0" w:color="auto"/>
        <w:bottom w:val="none" w:sz="0" w:space="0" w:color="auto"/>
        <w:right w:val="none" w:sz="0" w:space="0" w:color="auto"/>
      </w:divBdr>
    </w:div>
    <w:div w:id="1574972747">
      <w:bodyDiv w:val="1"/>
      <w:marLeft w:val="0"/>
      <w:marRight w:val="0"/>
      <w:marTop w:val="0"/>
      <w:marBottom w:val="0"/>
      <w:divBdr>
        <w:top w:val="none" w:sz="0" w:space="0" w:color="auto"/>
        <w:left w:val="none" w:sz="0" w:space="0" w:color="auto"/>
        <w:bottom w:val="none" w:sz="0" w:space="0" w:color="auto"/>
        <w:right w:val="none" w:sz="0" w:space="0" w:color="auto"/>
      </w:divBdr>
    </w:div>
    <w:div w:id="1598829134">
      <w:bodyDiv w:val="1"/>
      <w:marLeft w:val="0"/>
      <w:marRight w:val="0"/>
      <w:marTop w:val="0"/>
      <w:marBottom w:val="0"/>
      <w:divBdr>
        <w:top w:val="none" w:sz="0" w:space="0" w:color="auto"/>
        <w:left w:val="none" w:sz="0" w:space="0" w:color="auto"/>
        <w:bottom w:val="none" w:sz="0" w:space="0" w:color="auto"/>
        <w:right w:val="none" w:sz="0" w:space="0" w:color="auto"/>
      </w:divBdr>
    </w:div>
    <w:div w:id="1684622143">
      <w:bodyDiv w:val="1"/>
      <w:marLeft w:val="0"/>
      <w:marRight w:val="0"/>
      <w:marTop w:val="0"/>
      <w:marBottom w:val="0"/>
      <w:divBdr>
        <w:top w:val="none" w:sz="0" w:space="0" w:color="auto"/>
        <w:left w:val="none" w:sz="0" w:space="0" w:color="auto"/>
        <w:bottom w:val="none" w:sz="0" w:space="0" w:color="auto"/>
        <w:right w:val="none" w:sz="0" w:space="0" w:color="auto"/>
      </w:divBdr>
    </w:div>
    <w:div w:id="1685669373">
      <w:bodyDiv w:val="1"/>
      <w:marLeft w:val="0"/>
      <w:marRight w:val="0"/>
      <w:marTop w:val="0"/>
      <w:marBottom w:val="0"/>
      <w:divBdr>
        <w:top w:val="none" w:sz="0" w:space="0" w:color="auto"/>
        <w:left w:val="none" w:sz="0" w:space="0" w:color="auto"/>
        <w:bottom w:val="none" w:sz="0" w:space="0" w:color="auto"/>
        <w:right w:val="none" w:sz="0" w:space="0" w:color="auto"/>
      </w:divBdr>
    </w:div>
    <w:div w:id="1783300894">
      <w:bodyDiv w:val="1"/>
      <w:marLeft w:val="0"/>
      <w:marRight w:val="0"/>
      <w:marTop w:val="0"/>
      <w:marBottom w:val="0"/>
      <w:divBdr>
        <w:top w:val="none" w:sz="0" w:space="0" w:color="auto"/>
        <w:left w:val="none" w:sz="0" w:space="0" w:color="auto"/>
        <w:bottom w:val="none" w:sz="0" w:space="0" w:color="auto"/>
        <w:right w:val="none" w:sz="0" w:space="0" w:color="auto"/>
      </w:divBdr>
    </w:div>
    <w:div w:id="1806191301">
      <w:bodyDiv w:val="1"/>
      <w:marLeft w:val="0"/>
      <w:marRight w:val="0"/>
      <w:marTop w:val="0"/>
      <w:marBottom w:val="0"/>
      <w:divBdr>
        <w:top w:val="none" w:sz="0" w:space="0" w:color="auto"/>
        <w:left w:val="none" w:sz="0" w:space="0" w:color="auto"/>
        <w:bottom w:val="none" w:sz="0" w:space="0" w:color="auto"/>
        <w:right w:val="none" w:sz="0" w:space="0" w:color="auto"/>
      </w:divBdr>
    </w:div>
    <w:div w:id="1839037478">
      <w:bodyDiv w:val="1"/>
      <w:marLeft w:val="0"/>
      <w:marRight w:val="0"/>
      <w:marTop w:val="0"/>
      <w:marBottom w:val="0"/>
      <w:divBdr>
        <w:top w:val="none" w:sz="0" w:space="0" w:color="auto"/>
        <w:left w:val="none" w:sz="0" w:space="0" w:color="auto"/>
        <w:bottom w:val="none" w:sz="0" w:space="0" w:color="auto"/>
        <w:right w:val="none" w:sz="0" w:space="0" w:color="auto"/>
      </w:divBdr>
    </w:div>
    <w:div w:id="1917783677">
      <w:bodyDiv w:val="1"/>
      <w:marLeft w:val="0"/>
      <w:marRight w:val="0"/>
      <w:marTop w:val="0"/>
      <w:marBottom w:val="0"/>
      <w:divBdr>
        <w:top w:val="none" w:sz="0" w:space="0" w:color="auto"/>
        <w:left w:val="none" w:sz="0" w:space="0" w:color="auto"/>
        <w:bottom w:val="none" w:sz="0" w:space="0" w:color="auto"/>
        <w:right w:val="none" w:sz="0" w:space="0" w:color="auto"/>
      </w:divBdr>
    </w:div>
    <w:div w:id="2007050901">
      <w:bodyDiv w:val="1"/>
      <w:marLeft w:val="0"/>
      <w:marRight w:val="0"/>
      <w:marTop w:val="0"/>
      <w:marBottom w:val="0"/>
      <w:divBdr>
        <w:top w:val="none" w:sz="0" w:space="0" w:color="auto"/>
        <w:left w:val="none" w:sz="0" w:space="0" w:color="auto"/>
        <w:bottom w:val="none" w:sz="0" w:space="0" w:color="auto"/>
        <w:right w:val="none" w:sz="0" w:space="0" w:color="auto"/>
      </w:divBdr>
    </w:div>
    <w:div w:id="2060779710">
      <w:bodyDiv w:val="1"/>
      <w:marLeft w:val="0"/>
      <w:marRight w:val="0"/>
      <w:marTop w:val="0"/>
      <w:marBottom w:val="0"/>
      <w:divBdr>
        <w:top w:val="none" w:sz="0" w:space="0" w:color="auto"/>
        <w:left w:val="none" w:sz="0" w:space="0" w:color="auto"/>
        <w:bottom w:val="none" w:sz="0" w:space="0" w:color="auto"/>
        <w:right w:val="none" w:sz="0" w:space="0" w:color="auto"/>
      </w:divBdr>
    </w:div>
    <w:div w:id="2081907483">
      <w:bodyDiv w:val="1"/>
      <w:marLeft w:val="0"/>
      <w:marRight w:val="0"/>
      <w:marTop w:val="0"/>
      <w:marBottom w:val="0"/>
      <w:divBdr>
        <w:top w:val="none" w:sz="0" w:space="0" w:color="auto"/>
        <w:left w:val="none" w:sz="0" w:space="0" w:color="auto"/>
        <w:bottom w:val="none" w:sz="0" w:space="0" w:color="auto"/>
        <w:right w:val="none" w:sz="0" w:space="0" w:color="auto"/>
      </w:divBdr>
    </w:div>
    <w:div w:id="21189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13</Pages>
  <Words>3422</Words>
  <Characters>18827</Characters>
  <Application>Microsoft Office Word</Application>
  <DocSecurity>0</DocSecurity>
  <Lines>156</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Capacitacion2</dc:creator>
  <cp:keywords/>
  <dc:description/>
  <cp:lastModifiedBy>Generico629B</cp:lastModifiedBy>
  <cp:revision>2</cp:revision>
  <cp:lastPrinted>2019-07-30T16:47:00Z</cp:lastPrinted>
  <dcterms:created xsi:type="dcterms:W3CDTF">2019-07-30T17:11:00Z</dcterms:created>
  <dcterms:modified xsi:type="dcterms:W3CDTF">2019-07-30T17:11:00Z</dcterms:modified>
</cp:coreProperties>
</file>