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FBF" w:rsidRPr="006055D9" w:rsidRDefault="00222FBF" w:rsidP="00C5482E">
      <w:pPr>
        <w:rPr>
          <w:rFonts w:ascii="Arial" w:hAnsi="Arial" w:cs="Arial"/>
        </w:rPr>
      </w:pPr>
    </w:p>
    <w:p w:rsidR="00C5482E" w:rsidRPr="006055D9" w:rsidRDefault="00C5482E" w:rsidP="00A6549F">
      <w:pPr>
        <w:spacing w:line="360" w:lineRule="auto"/>
        <w:jc w:val="center"/>
        <w:rPr>
          <w:rFonts w:ascii="Arial" w:eastAsia="Arial" w:hAnsi="Arial" w:cs="Arial"/>
          <w:b/>
        </w:rPr>
      </w:pPr>
      <w:r w:rsidRPr="006055D9">
        <w:rPr>
          <w:rFonts w:ascii="Arial" w:eastAsia="Arial" w:hAnsi="Arial" w:cs="Arial"/>
          <w:b/>
        </w:rPr>
        <w:t xml:space="preserve">PROYECTO DE LEY No ____ </w:t>
      </w:r>
      <w:r w:rsidR="00A6549F" w:rsidRPr="006055D9">
        <w:rPr>
          <w:rFonts w:ascii="Arial" w:eastAsia="Arial" w:hAnsi="Arial" w:cs="Arial"/>
          <w:b/>
        </w:rPr>
        <w:t xml:space="preserve">DE 2019 </w:t>
      </w:r>
      <w:r w:rsidRPr="006055D9">
        <w:rPr>
          <w:rFonts w:ascii="Arial" w:eastAsia="Arial" w:hAnsi="Arial" w:cs="Arial"/>
          <w:b/>
        </w:rPr>
        <w:t>Cámara</w:t>
      </w:r>
    </w:p>
    <w:p w:rsidR="00CE2B2B" w:rsidRPr="006055D9" w:rsidRDefault="00CE2B2B" w:rsidP="00A6549F">
      <w:pPr>
        <w:spacing w:line="360" w:lineRule="auto"/>
        <w:jc w:val="center"/>
        <w:rPr>
          <w:rFonts w:ascii="Arial" w:eastAsia="Arial" w:hAnsi="Arial" w:cs="Arial"/>
        </w:rPr>
      </w:pPr>
      <w:r w:rsidRPr="006055D9">
        <w:rPr>
          <w:rFonts w:ascii="Arial" w:eastAsia="Arial" w:hAnsi="Arial" w:cs="Arial"/>
        </w:rPr>
        <w:t>“Por medio del cual se modifica la ley 1558 de 2012, y se dictan disposiciones en materia de turismo social.”</w:t>
      </w:r>
    </w:p>
    <w:p w:rsidR="00C5482E" w:rsidRPr="006055D9" w:rsidRDefault="00C5482E" w:rsidP="00A6549F">
      <w:pPr>
        <w:spacing w:line="360" w:lineRule="auto"/>
        <w:jc w:val="center"/>
        <w:rPr>
          <w:rFonts w:ascii="Arial" w:eastAsia="Arial" w:hAnsi="Arial" w:cs="Arial"/>
          <w:b/>
        </w:rPr>
      </w:pPr>
      <w:r w:rsidRPr="006055D9">
        <w:rPr>
          <w:rFonts w:ascii="Arial" w:eastAsia="Arial" w:hAnsi="Arial" w:cs="Arial"/>
          <w:b/>
        </w:rPr>
        <w:t>El Congreso de la República de Colombia</w:t>
      </w:r>
    </w:p>
    <w:p w:rsidR="00E52429" w:rsidRPr="006055D9" w:rsidRDefault="00C5482E" w:rsidP="00CF730F">
      <w:pPr>
        <w:spacing w:line="360" w:lineRule="auto"/>
        <w:jc w:val="center"/>
        <w:rPr>
          <w:rFonts w:ascii="Arial" w:eastAsia="Arial" w:hAnsi="Arial" w:cs="Arial"/>
          <w:b/>
        </w:rPr>
      </w:pPr>
      <w:r w:rsidRPr="006055D9">
        <w:rPr>
          <w:rFonts w:ascii="Arial" w:eastAsia="Arial" w:hAnsi="Arial" w:cs="Arial"/>
          <w:b/>
        </w:rPr>
        <w:t>DECRETA:</w:t>
      </w:r>
    </w:p>
    <w:p w:rsidR="003B7DB6" w:rsidRPr="006055D9" w:rsidRDefault="003B7DB6" w:rsidP="003B7DB6">
      <w:pPr>
        <w:jc w:val="both"/>
        <w:rPr>
          <w:rFonts w:ascii="Arial" w:hAnsi="Arial" w:cs="Arial"/>
        </w:rPr>
      </w:pPr>
      <w:r w:rsidRPr="006055D9">
        <w:rPr>
          <w:rFonts w:ascii="Arial" w:hAnsi="Arial" w:cs="Arial"/>
          <w:b/>
        </w:rPr>
        <w:t xml:space="preserve">ARTÍCULO </w:t>
      </w:r>
      <w:r w:rsidRPr="006055D9">
        <w:rPr>
          <w:rFonts w:ascii="Arial" w:hAnsi="Arial" w:cs="Arial"/>
          <w:b/>
        </w:rPr>
        <w:t>1:</w:t>
      </w:r>
      <w:r w:rsidRPr="006055D9">
        <w:rPr>
          <w:rFonts w:ascii="Arial" w:hAnsi="Arial" w:cs="Arial"/>
        </w:rPr>
        <w:t xml:space="preserve"> OBJETO</w:t>
      </w:r>
      <w:r w:rsidRPr="006055D9">
        <w:rPr>
          <w:rFonts w:ascii="Arial" w:hAnsi="Arial" w:cs="Arial"/>
        </w:rPr>
        <w:t xml:space="preserve">: la presente ley tiene por objeto garantizar la vinculación de pobladores locales en los proyectos y complejos turísticos en todo el territorio nacional, como estrategia de inclusión social y desarrollo local a través del turismo. </w:t>
      </w:r>
    </w:p>
    <w:p w:rsidR="003B7DB6" w:rsidRPr="006055D9" w:rsidRDefault="003B7DB6" w:rsidP="003B7DB6">
      <w:pPr>
        <w:jc w:val="both"/>
        <w:rPr>
          <w:rFonts w:ascii="Arial" w:hAnsi="Arial" w:cs="Arial"/>
        </w:rPr>
      </w:pPr>
      <w:r w:rsidRPr="006055D9">
        <w:rPr>
          <w:rFonts w:ascii="Arial" w:hAnsi="Arial" w:cs="Arial"/>
          <w:b/>
        </w:rPr>
        <w:t>ARTÍCULO 2:</w:t>
      </w:r>
      <w:r w:rsidRPr="006055D9">
        <w:rPr>
          <w:rFonts w:ascii="Arial" w:hAnsi="Arial" w:cs="Arial"/>
        </w:rPr>
        <w:t xml:space="preserve"> el artículo 14 de la ley 1558 de 2012 quedará así: </w:t>
      </w:r>
    </w:p>
    <w:p w:rsidR="003B7DB6" w:rsidRPr="006055D9" w:rsidRDefault="003B7DB6" w:rsidP="003B7DB6">
      <w:pPr>
        <w:jc w:val="both"/>
        <w:rPr>
          <w:rFonts w:ascii="Arial" w:hAnsi="Arial" w:cs="Arial"/>
        </w:rPr>
      </w:pPr>
      <w:r w:rsidRPr="006055D9">
        <w:rPr>
          <w:rFonts w:ascii="Arial" w:hAnsi="Arial" w:cs="Arial"/>
        </w:rPr>
        <w:t>ARTÍCULO 14. Modifíquese el artículo</w:t>
      </w:r>
      <w:hyperlink r:id="rId8" w:anchor="33">
        <w:r w:rsidRPr="006055D9">
          <w:rPr>
            <w:rFonts w:ascii="Arial" w:hAnsi="Arial" w:cs="Arial"/>
          </w:rPr>
          <w:t xml:space="preserve"> </w:t>
        </w:r>
      </w:hyperlink>
      <w:hyperlink r:id="rId9" w:anchor="33">
        <w:r w:rsidRPr="006055D9">
          <w:rPr>
            <w:rFonts w:ascii="Arial" w:hAnsi="Arial" w:cs="Arial"/>
            <w:color w:val="1155CC"/>
            <w:u w:val="single"/>
          </w:rPr>
          <w:t>33</w:t>
        </w:r>
      </w:hyperlink>
      <w:r w:rsidRPr="006055D9">
        <w:rPr>
          <w:rFonts w:ascii="Arial" w:hAnsi="Arial" w:cs="Arial"/>
        </w:rPr>
        <w:t xml:space="preserve"> de la Ley 300 de 1996 quedará así:</w:t>
      </w:r>
    </w:p>
    <w:p w:rsidR="003B7DB6" w:rsidRPr="006055D9" w:rsidRDefault="003B7DB6" w:rsidP="003B7DB6">
      <w:pPr>
        <w:jc w:val="both"/>
        <w:rPr>
          <w:rFonts w:ascii="Arial" w:hAnsi="Arial" w:cs="Arial"/>
        </w:rPr>
      </w:pPr>
      <w:r w:rsidRPr="006055D9">
        <w:rPr>
          <w:rFonts w:ascii="Arial" w:hAnsi="Arial" w:cs="Arial"/>
        </w:rPr>
        <w:t>“Artículo</w:t>
      </w:r>
      <w:hyperlink r:id="rId10" w:anchor="33">
        <w:r w:rsidRPr="006055D9">
          <w:rPr>
            <w:rFonts w:ascii="Arial" w:hAnsi="Arial" w:cs="Arial"/>
          </w:rPr>
          <w:t xml:space="preserve"> </w:t>
        </w:r>
      </w:hyperlink>
      <w:hyperlink r:id="rId11" w:anchor="33">
        <w:r w:rsidRPr="006055D9">
          <w:rPr>
            <w:rFonts w:ascii="Arial" w:hAnsi="Arial" w:cs="Arial"/>
            <w:color w:val="1155CC"/>
            <w:u w:val="single"/>
          </w:rPr>
          <w:t>33</w:t>
        </w:r>
      </w:hyperlink>
      <w:r w:rsidRPr="006055D9">
        <w:rPr>
          <w:rFonts w:ascii="Arial" w:hAnsi="Arial" w:cs="Arial"/>
        </w:rPr>
        <w:t>. Promoción del turismo de interés social. Con el propósito de ser más incluyente y de garantizar el derecho a la recreación, a la práctica del deporte y al aprovechamiento del tiempo libre consagrado en el artículo</w:t>
      </w:r>
      <w:hyperlink r:id="rId12" w:anchor="52">
        <w:r w:rsidRPr="006055D9">
          <w:rPr>
            <w:rFonts w:ascii="Arial" w:hAnsi="Arial" w:cs="Arial"/>
          </w:rPr>
          <w:t xml:space="preserve"> </w:t>
        </w:r>
      </w:hyperlink>
      <w:hyperlink r:id="rId13" w:anchor="52">
        <w:r w:rsidRPr="006055D9">
          <w:rPr>
            <w:rFonts w:ascii="Arial" w:hAnsi="Arial" w:cs="Arial"/>
            <w:color w:val="1155CC"/>
            <w:u w:val="single"/>
          </w:rPr>
          <w:t>52</w:t>
        </w:r>
      </w:hyperlink>
      <w:r w:rsidRPr="006055D9">
        <w:rPr>
          <w:rFonts w:ascii="Arial" w:hAnsi="Arial" w:cs="Arial"/>
        </w:rPr>
        <w:t xml:space="preserve"> de la Constitución Política, el Estado promoverá el desarrollo del turismo de interés social. Para este efecto, el Viceministerio de Turismo, con el apoyo y en coordinación con las dependencias y entidades competentes, promoverá la constitución y operación de empresas del sector social, que tengan por objeto la prestación de servicios turísticos accesibles a la población menos favorecida. Así mismo, promoverá la conjunción de esfuerzos para mejorar la atención y desarrollo de aquellos lugares en que pueda ser susceptible elevar su nivel económico de vida, mediante la industria turística, para tal efecto el plan sectorial de turismo deberá contener directrices y programas de apoyo al turismo de interés social.</w:t>
      </w:r>
    </w:p>
    <w:p w:rsidR="003B7DB6" w:rsidRPr="006055D9" w:rsidRDefault="003B7DB6" w:rsidP="003B7DB6">
      <w:pPr>
        <w:jc w:val="both"/>
        <w:rPr>
          <w:rFonts w:ascii="Arial" w:hAnsi="Arial" w:cs="Arial"/>
        </w:rPr>
      </w:pPr>
      <w:r w:rsidRPr="006055D9">
        <w:rPr>
          <w:rFonts w:ascii="Arial" w:hAnsi="Arial" w:cs="Arial"/>
        </w:rPr>
        <w:t>PARÁGRAFO 1. Harán parte integral de este sector las entidades que desarrollen actividades de recreación o turismo social, en particular las Cajas de Compensación Familiar”.</w:t>
      </w:r>
    </w:p>
    <w:p w:rsidR="003B7DB6" w:rsidRPr="006055D9" w:rsidRDefault="003B7DB6" w:rsidP="003B7DB6">
      <w:pPr>
        <w:jc w:val="both"/>
        <w:rPr>
          <w:rFonts w:ascii="Arial" w:hAnsi="Arial" w:cs="Arial"/>
        </w:rPr>
      </w:pPr>
      <w:r w:rsidRPr="006055D9">
        <w:rPr>
          <w:rFonts w:ascii="Arial" w:hAnsi="Arial" w:cs="Arial"/>
        </w:rPr>
        <w:t>PARÁGRAFO 2 En los proyectos turísticos que se adelanten a partir de la vigencia de la presente ley se deberá garantizar la oferta de cargos dirigido al menos en un 50% de forma exclusiva a los pobladores de la menor unidad administrativa donde se encuentra radicado el proyecto o la instalación turística, en caso de no poder ser suplidos con la oferta local se procederá a la vinculación libre, después de informar la situación de forma sustentada al ministerio de comercio, industria y turismo.</w:t>
      </w:r>
    </w:p>
    <w:p w:rsidR="003B7DB6" w:rsidRPr="006055D9" w:rsidRDefault="003B7DB6" w:rsidP="003B7DB6">
      <w:pPr>
        <w:jc w:val="both"/>
        <w:rPr>
          <w:rFonts w:ascii="Arial" w:hAnsi="Arial" w:cs="Arial"/>
        </w:rPr>
      </w:pPr>
      <w:r w:rsidRPr="006055D9">
        <w:rPr>
          <w:rFonts w:ascii="Arial" w:hAnsi="Arial" w:cs="Arial"/>
          <w:b/>
        </w:rPr>
        <w:t xml:space="preserve">ARTÍCULO </w:t>
      </w:r>
      <w:r w:rsidRPr="006055D9">
        <w:rPr>
          <w:rFonts w:ascii="Arial" w:hAnsi="Arial" w:cs="Arial"/>
          <w:b/>
        </w:rPr>
        <w:t>3:</w:t>
      </w:r>
      <w:r w:rsidRPr="006055D9">
        <w:rPr>
          <w:rFonts w:ascii="Arial" w:hAnsi="Arial" w:cs="Arial"/>
        </w:rPr>
        <w:t xml:space="preserve"> En caso de incumplimiento de las disposiciones aquí previstas serán aplicables las sanciones contempladas en el artículo </w:t>
      </w:r>
      <w:r w:rsidRPr="006055D9">
        <w:rPr>
          <w:rFonts w:ascii="Arial" w:hAnsi="Arial" w:cs="Arial"/>
        </w:rPr>
        <w:t>33,</w:t>
      </w:r>
      <w:r w:rsidRPr="006055D9">
        <w:rPr>
          <w:rFonts w:ascii="Arial" w:hAnsi="Arial" w:cs="Arial"/>
        </w:rPr>
        <w:t xml:space="preserve"> parágrafo 4 de la ley 1558 de 2012 de conformidad con el procedimiento previsto en la misma ley.     </w:t>
      </w:r>
    </w:p>
    <w:p w:rsidR="003B7DB6" w:rsidRPr="006055D9" w:rsidRDefault="003B7DB6" w:rsidP="003B7DB6">
      <w:pPr>
        <w:jc w:val="both"/>
        <w:rPr>
          <w:rFonts w:ascii="Arial" w:hAnsi="Arial" w:cs="Arial"/>
        </w:rPr>
      </w:pPr>
      <w:r w:rsidRPr="006055D9">
        <w:rPr>
          <w:rFonts w:ascii="Arial" w:hAnsi="Arial" w:cs="Arial"/>
          <w:b/>
        </w:rPr>
        <w:t>ARTÍCULO 4</w:t>
      </w:r>
      <w:r w:rsidRPr="006055D9">
        <w:rPr>
          <w:rFonts w:ascii="Arial" w:hAnsi="Arial" w:cs="Arial"/>
          <w:b/>
        </w:rPr>
        <w:t>:</w:t>
      </w:r>
      <w:r w:rsidRPr="006055D9">
        <w:rPr>
          <w:rFonts w:ascii="Arial" w:hAnsi="Arial" w:cs="Arial"/>
        </w:rPr>
        <w:t xml:space="preserve"> En</w:t>
      </w:r>
      <w:r w:rsidRPr="006055D9">
        <w:rPr>
          <w:rFonts w:ascii="Arial" w:hAnsi="Arial" w:cs="Arial"/>
        </w:rPr>
        <w:t xml:space="preserve"> los proyectos turísticos y complejos existentes se destinarán espacios físicos a título gratuito destinados a la  promoción de la agricultura campesina, familiar y comunitaria de la región. En aquellos proyectos y desarrollos donde se cuente con aportes de recursos del estado se deberán prever espacios físicos, no inferiores al 50% del área </w:t>
      </w:r>
      <w:r w:rsidRPr="006055D9">
        <w:rPr>
          <w:rFonts w:ascii="Arial" w:hAnsi="Arial" w:cs="Arial"/>
        </w:rPr>
        <w:lastRenderedPageBreak/>
        <w:t xml:space="preserve">comercial disponible, destinados para el uso a título gratuito, por todo concepto,  para los pequeños agricultores de la región que permitan la exhibición y venta de productos locales a los visitantes de forma permanente .  </w:t>
      </w:r>
    </w:p>
    <w:p w:rsidR="003B7DB6" w:rsidRPr="006055D9" w:rsidRDefault="003B7DB6" w:rsidP="003B7DB6">
      <w:pPr>
        <w:jc w:val="both"/>
        <w:rPr>
          <w:rFonts w:ascii="Arial" w:hAnsi="Arial" w:cs="Arial"/>
        </w:rPr>
      </w:pPr>
      <w:r w:rsidRPr="006055D9">
        <w:rPr>
          <w:rFonts w:ascii="Arial" w:hAnsi="Arial" w:cs="Arial"/>
          <w:b/>
        </w:rPr>
        <w:t>ARTÍCULO 5:</w:t>
      </w:r>
      <w:r w:rsidRPr="006055D9">
        <w:rPr>
          <w:rFonts w:ascii="Arial" w:hAnsi="Arial" w:cs="Arial"/>
        </w:rPr>
        <w:t xml:space="preserve"> L</w:t>
      </w:r>
      <w:r w:rsidRPr="006055D9">
        <w:rPr>
          <w:rFonts w:ascii="Arial" w:hAnsi="Arial" w:cs="Arial"/>
        </w:rPr>
        <w:t>a elección se hará a través de convocatoria pública abierta de acuerdo a los parámetros que para este fin fije el Ministerio de Comercio, Industria y Turismo, en un término no superior a un año contado a partir de la vigencia de la presente ley.</w:t>
      </w:r>
    </w:p>
    <w:p w:rsidR="003B7DB6" w:rsidRPr="006055D9" w:rsidRDefault="003B7DB6" w:rsidP="003B7DB6">
      <w:pPr>
        <w:jc w:val="both"/>
        <w:rPr>
          <w:rFonts w:ascii="Arial" w:hAnsi="Arial" w:cs="Arial"/>
        </w:rPr>
      </w:pPr>
      <w:r w:rsidRPr="006055D9">
        <w:rPr>
          <w:rFonts w:ascii="Arial" w:hAnsi="Arial" w:cs="Arial"/>
          <w:b/>
        </w:rPr>
        <w:t>ARTÍCULO 6</w:t>
      </w:r>
      <w:r w:rsidRPr="006055D9">
        <w:rPr>
          <w:rFonts w:ascii="Arial" w:hAnsi="Arial" w:cs="Arial"/>
          <w:b/>
        </w:rPr>
        <w:t>:</w:t>
      </w:r>
      <w:r w:rsidRPr="006055D9">
        <w:rPr>
          <w:rFonts w:ascii="Arial" w:hAnsi="Arial" w:cs="Arial"/>
        </w:rPr>
        <w:t xml:space="preserve"> VIGENCIAS: El presente proyecto de ley rige a partir de su publicación y deroga todas las disposiciones que le sean contrarias.</w:t>
      </w:r>
    </w:p>
    <w:p w:rsidR="003B7DB6" w:rsidRPr="006055D9" w:rsidRDefault="003B7DB6" w:rsidP="003B7DB6">
      <w:pPr>
        <w:jc w:val="both"/>
        <w:rPr>
          <w:rFonts w:ascii="Arial" w:hAnsi="Arial" w:cs="Arial"/>
        </w:rPr>
      </w:pPr>
    </w:p>
    <w:p w:rsidR="00401C54" w:rsidRPr="006055D9" w:rsidRDefault="00401C54" w:rsidP="003B7DB6">
      <w:pPr>
        <w:spacing w:after="0"/>
        <w:jc w:val="both"/>
        <w:rPr>
          <w:rFonts w:ascii="Arial" w:eastAsiaTheme="minorHAnsi" w:hAnsi="Arial" w:cs="Arial"/>
          <w:b/>
          <w:color w:val="000000"/>
          <w:lang w:eastAsia="en-US"/>
        </w:rPr>
      </w:pPr>
    </w:p>
    <w:p w:rsidR="00401C54" w:rsidRPr="006055D9" w:rsidRDefault="00401C54" w:rsidP="003B7DB6">
      <w:pPr>
        <w:spacing w:after="0"/>
        <w:jc w:val="both"/>
        <w:rPr>
          <w:rFonts w:ascii="Arial" w:eastAsiaTheme="minorHAnsi" w:hAnsi="Arial" w:cs="Arial"/>
          <w:b/>
          <w:color w:val="000000"/>
          <w:lang w:eastAsia="en-US"/>
        </w:rPr>
      </w:pPr>
    </w:p>
    <w:p w:rsidR="00401C54" w:rsidRPr="006055D9" w:rsidRDefault="00401C54" w:rsidP="003436C2">
      <w:pPr>
        <w:spacing w:after="0"/>
        <w:rPr>
          <w:rFonts w:ascii="Arial" w:eastAsiaTheme="minorHAnsi" w:hAnsi="Arial" w:cs="Arial"/>
          <w:b/>
          <w:color w:val="000000"/>
          <w:lang w:eastAsia="en-US"/>
        </w:rPr>
      </w:pPr>
    </w:p>
    <w:p w:rsidR="003436C2" w:rsidRPr="006055D9" w:rsidRDefault="003436C2" w:rsidP="003436C2">
      <w:pPr>
        <w:spacing w:after="0"/>
        <w:rPr>
          <w:rFonts w:ascii="Arial" w:eastAsiaTheme="minorHAnsi" w:hAnsi="Arial" w:cs="Arial"/>
          <w:b/>
          <w:color w:val="000000"/>
          <w:lang w:eastAsia="en-US"/>
        </w:rPr>
      </w:pPr>
      <w:r w:rsidRPr="006055D9">
        <w:rPr>
          <w:rFonts w:ascii="Arial" w:eastAsiaTheme="minorHAnsi" w:hAnsi="Arial" w:cs="Arial"/>
          <w:b/>
          <w:color w:val="000000"/>
          <w:lang w:eastAsia="en-US"/>
        </w:rPr>
        <w:t>FABIÁN DÍAZ PLATA</w:t>
      </w:r>
    </w:p>
    <w:p w:rsidR="003436C2" w:rsidRPr="006055D9" w:rsidRDefault="003436C2" w:rsidP="003436C2">
      <w:pPr>
        <w:spacing w:after="0"/>
        <w:rPr>
          <w:rFonts w:ascii="Arial" w:eastAsiaTheme="minorHAnsi" w:hAnsi="Arial" w:cs="Arial"/>
          <w:color w:val="000000"/>
          <w:lang w:eastAsia="en-US"/>
        </w:rPr>
      </w:pPr>
      <w:r w:rsidRPr="006055D9">
        <w:rPr>
          <w:rFonts w:ascii="Arial" w:eastAsiaTheme="minorHAnsi" w:hAnsi="Arial" w:cs="Arial"/>
          <w:color w:val="000000"/>
          <w:lang w:eastAsia="en-US"/>
        </w:rPr>
        <w:t>Representante a la Cámara</w:t>
      </w:r>
    </w:p>
    <w:p w:rsidR="00C5482E" w:rsidRPr="006055D9" w:rsidRDefault="003436C2" w:rsidP="003436C2">
      <w:pPr>
        <w:rPr>
          <w:rFonts w:ascii="Arial" w:eastAsia="Arial" w:hAnsi="Arial" w:cs="Arial"/>
          <w:b/>
        </w:rPr>
      </w:pPr>
      <w:r w:rsidRPr="006055D9">
        <w:rPr>
          <w:rFonts w:ascii="Arial" w:eastAsiaTheme="minorHAnsi" w:hAnsi="Arial" w:cs="Arial"/>
          <w:color w:val="000000"/>
          <w:lang w:eastAsia="en-US"/>
        </w:rPr>
        <w:t>Departamento de Santander</w:t>
      </w:r>
      <w:r w:rsidRPr="006055D9">
        <w:rPr>
          <w:rFonts w:ascii="Arial" w:eastAsia="Arial" w:hAnsi="Arial" w:cs="Arial"/>
          <w:b/>
        </w:rPr>
        <w:t xml:space="preserve"> </w:t>
      </w:r>
      <w:r w:rsidR="00C5482E" w:rsidRPr="006055D9">
        <w:rPr>
          <w:rFonts w:ascii="Arial" w:eastAsia="Arial" w:hAnsi="Arial" w:cs="Arial"/>
          <w:b/>
        </w:rPr>
        <w:br w:type="page"/>
      </w:r>
    </w:p>
    <w:p w:rsidR="00C5482E" w:rsidRPr="006055D9" w:rsidRDefault="00C5482E" w:rsidP="00C5482E">
      <w:pPr>
        <w:spacing w:line="360" w:lineRule="auto"/>
        <w:jc w:val="both"/>
        <w:rPr>
          <w:rFonts w:ascii="Arial" w:eastAsia="Arial" w:hAnsi="Arial" w:cs="Arial"/>
          <w:b/>
        </w:rPr>
      </w:pPr>
    </w:p>
    <w:p w:rsidR="00407A20" w:rsidRPr="006055D9" w:rsidRDefault="00A003BC" w:rsidP="00407A20">
      <w:pPr>
        <w:spacing w:line="360" w:lineRule="auto"/>
        <w:jc w:val="center"/>
        <w:rPr>
          <w:rFonts w:ascii="Arial" w:eastAsia="Arial" w:hAnsi="Arial" w:cs="Arial"/>
          <w:b/>
        </w:rPr>
      </w:pPr>
      <w:r w:rsidRPr="006055D9">
        <w:rPr>
          <w:rFonts w:ascii="Arial" w:eastAsia="Arial" w:hAnsi="Arial" w:cs="Arial"/>
          <w:b/>
        </w:rPr>
        <w:t>EXPOSICIÓN DE MOTIVOS</w:t>
      </w:r>
    </w:p>
    <w:p w:rsidR="006055D9" w:rsidRPr="006055D9" w:rsidRDefault="006055D9" w:rsidP="006055D9">
      <w:pPr>
        <w:spacing w:line="360" w:lineRule="auto"/>
        <w:jc w:val="center"/>
        <w:rPr>
          <w:rFonts w:ascii="Arial" w:eastAsia="Arial" w:hAnsi="Arial" w:cs="Arial"/>
          <w:b/>
        </w:rPr>
      </w:pPr>
      <w:r w:rsidRPr="006055D9">
        <w:rPr>
          <w:rFonts w:ascii="Arial" w:eastAsia="Arial" w:hAnsi="Arial" w:cs="Arial"/>
          <w:b/>
        </w:rPr>
        <w:t>PROYECTO DE LEY No ____ DE 2019 Cámara</w:t>
      </w:r>
    </w:p>
    <w:p w:rsidR="006055D9" w:rsidRPr="006055D9" w:rsidRDefault="006055D9" w:rsidP="006055D9">
      <w:pPr>
        <w:spacing w:line="360" w:lineRule="auto"/>
        <w:jc w:val="center"/>
        <w:rPr>
          <w:rFonts w:ascii="Arial" w:eastAsia="Arial" w:hAnsi="Arial" w:cs="Arial"/>
        </w:rPr>
      </w:pPr>
      <w:r w:rsidRPr="006055D9">
        <w:rPr>
          <w:rFonts w:ascii="Arial" w:eastAsia="Arial" w:hAnsi="Arial" w:cs="Arial"/>
        </w:rPr>
        <w:t>“Por medio del cual se modifica la ley 1558 de 2012, y se dictan disposiciones en materia de turismo social.”</w:t>
      </w:r>
    </w:p>
    <w:p w:rsidR="006055D9" w:rsidRPr="006055D9" w:rsidRDefault="006055D9" w:rsidP="006055D9">
      <w:pPr>
        <w:jc w:val="both"/>
        <w:rPr>
          <w:rFonts w:ascii="Arial" w:hAnsi="Arial" w:cs="Arial"/>
        </w:rPr>
      </w:pPr>
      <w:r w:rsidRPr="006055D9">
        <w:rPr>
          <w:rFonts w:ascii="Arial" w:hAnsi="Arial" w:cs="Arial"/>
        </w:rPr>
        <w:t>Resulta</w:t>
      </w:r>
      <w:r w:rsidRPr="006055D9">
        <w:rPr>
          <w:rFonts w:ascii="Arial" w:hAnsi="Arial" w:cs="Arial"/>
        </w:rPr>
        <w:t xml:space="preserve"> indiscutible la necesidad de inclusi</w:t>
      </w:r>
      <w:bookmarkStart w:id="0" w:name="_GoBack"/>
      <w:bookmarkEnd w:id="0"/>
      <w:r w:rsidRPr="006055D9">
        <w:rPr>
          <w:rFonts w:ascii="Arial" w:hAnsi="Arial" w:cs="Arial"/>
        </w:rPr>
        <w:t>ón social en nuestro país, como una fórmula de construcción de sociedades más armónicas posibilitando la manifestación de la conflictividad social a través de expresiones no violentas.</w:t>
      </w:r>
    </w:p>
    <w:p w:rsidR="006055D9" w:rsidRPr="006055D9" w:rsidRDefault="006055D9" w:rsidP="006055D9">
      <w:pPr>
        <w:jc w:val="both"/>
        <w:rPr>
          <w:rFonts w:ascii="Arial" w:hAnsi="Arial" w:cs="Arial"/>
        </w:rPr>
      </w:pPr>
    </w:p>
    <w:p w:rsidR="006055D9" w:rsidRPr="006055D9" w:rsidRDefault="006055D9" w:rsidP="006055D9">
      <w:pPr>
        <w:jc w:val="both"/>
        <w:rPr>
          <w:rFonts w:ascii="Arial" w:hAnsi="Arial" w:cs="Arial"/>
        </w:rPr>
      </w:pPr>
      <w:r w:rsidRPr="006055D9">
        <w:rPr>
          <w:rFonts w:ascii="Arial" w:hAnsi="Arial" w:cs="Arial"/>
        </w:rPr>
        <w:t xml:space="preserve">En este propósito el rol del trabajo es fundamental. </w:t>
      </w:r>
      <w:r w:rsidRPr="006055D9">
        <w:rPr>
          <w:rFonts w:ascii="Arial" w:hAnsi="Arial" w:cs="Arial"/>
        </w:rPr>
        <w:t>La</w:t>
      </w:r>
      <w:r w:rsidRPr="006055D9">
        <w:rPr>
          <w:rFonts w:ascii="Arial" w:hAnsi="Arial" w:cs="Arial"/>
        </w:rPr>
        <w:t xml:space="preserve"> </w:t>
      </w:r>
      <w:r w:rsidRPr="006055D9">
        <w:rPr>
          <w:rFonts w:ascii="Arial" w:hAnsi="Arial" w:cs="Arial"/>
        </w:rPr>
        <w:t>socialización</w:t>
      </w:r>
      <w:r w:rsidRPr="006055D9">
        <w:rPr>
          <w:rFonts w:ascii="Arial" w:hAnsi="Arial" w:cs="Arial"/>
        </w:rPr>
        <w:t xml:space="preserve"> a </w:t>
      </w:r>
      <w:r w:rsidRPr="006055D9">
        <w:rPr>
          <w:rFonts w:ascii="Arial" w:hAnsi="Arial" w:cs="Arial"/>
        </w:rPr>
        <w:t>través</w:t>
      </w:r>
      <w:r w:rsidRPr="006055D9">
        <w:rPr>
          <w:rFonts w:ascii="Arial" w:hAnsi="Arial" w:cs="Arial"/>
        </w:rPr>
        <w:t xml:space="preserve"> del trabajo es uno de los fenómenos mejor estudiados en el mundo de lo laboral, desafortunadamente las escasas oportunidades de </w:t>
      </w:r>
      <w:r w:rsidRPr="006055D9">
        <w:rPr>
          <w:rFonts w:ascii="Arial" w:hAnsi="Arial" w:cs="Arial"/>
        </w:rPr>
        <w:t>vinculación,</w:t>
      </w:r>
      <w:r w:rsidRPr="006055D9">
        <w:rPr>
          <w:rFonts w:ascii="Arial" w:hAnsi="Arial" w:cs="Arial"/>
        </w:rPr>
        <w:t xml:space="preserve"> se encuentran con peligrosas sinergias producto de las inequidades en el desarrollo regional, la asimetría en la asignación de los ingresos, la ausencia de oportunidades reales y el modelo de inclusión a través de la capacidad de consumo se convierten en determinadores en la elección de actividades ilícitas.</w:t>
      </w:r>
    </w:p>
    <w:p w:rsidR="006055D9" w:rsidRPr="006055D9" w:rsidRDefault="006055D9" w:rsidP="006055D9">
      <w:pPr>
        <w:jc w:val="both"/>
        <w:rPr>
          <w:rFonts w:ascii="Arial" w:hAnsi="Arial" w:cs="Arial"/>
        </w:rPr>
      </w:pPr>
    </w:p>
    <w:p w:rsidR="006055D9" w:rsidRPr="006055D9" w:rsidRDefault="006055D9" w:rsidP="006055D9">
      <w:pPr>
        <w:jc w:val="both"/>
        <w:rPr>
          <w:rFonts w:ascii="Arial" w:hAnsi="Arial" w:cs="Arial"/>
        </w:rPr>
      </w:pPr>
      <w:r w:rsidRPr="006055D9">
        <w:rPr>
          <w:rFonts w:ascii="Arial" w:hAnsi="Arial" w:cs="Arial"/>
        </w:rPr>
        <w:t xml:space="preserve">En este escenario el turismo se presenta como una de las actividades capaces de mitigar las asimetrías en el desarrollo regional, con el avance en los sistemas de interconexión vial del país en los últimos veinte años se ha conseguido una mayor </w:t>
      </w:r>
      <w:r w:rsidRPr="006055D9">
        <w:rPr>
          <w:rFonts w:ascii="Arial" w:hAnsi="Arial" w:cs="Arial"/>
        </w:rPr>
        <w:t>integración,</w:t>
      </w:r>
      <w:r w:rsidRPr="006055D9">
        <w:rPr>
          <w:rFonts w:ascii="Arial" w:hAnsi="Arial" w:cs="Arial"/>
        </w:rPr>
        <w:t xml:space="preserve"> sin que la misma se haya traducido en un mayor desarrollo regional. </w:t>
      </w:r>
      <w:r w:rsidRPr="006055D9">
        <w:rPr>
          <w:rFonts w:ascii="Arial" w:hAnsi="Arial" w:cs="Arial"/>
        </w:rPr>
        <w:t>No</w:t>
      </w:r>
      <w:r w:rsidRPr="006055D9">
        <w:rPr>
          <w:rFonts w:ascii="Arial" w:hAnsi="Arial" w:cs="Arial"/>
        </w:rPr>
        <w:t xml:space="preserve"> obstante ha construido una ventana de oportunidad para conectarse con las potencialidades naturales, paisajísticas y culturales de nuestro país.</w:t>
      </w:r>
    </w:p>
    <w:p w:rsidR="006055D9" w:rsidRPr="006055D9" w:rsidRDefault="006055D9" w:rsidP="006055D9">
      <w:pPr>
        <w:jc w:val="both"/>
        <w:rPr>
          <w:rFonts w:ascii="Arial" w:hAnsi="Arial" w:cs="Arial"/>
        </w:rPr>
      </w:pPr>
      <w:r w:rsidRPr="006055D9">
        <w:rPr>
          <w:rFonts w:ascii="Arial" w:hAnsi="Arial" w:cs="Arial"/>
        </w:rPr>
        <w:t xml:space="preserve"> </w:t>
      </w:r>
    </w:p>
    <w:p w:rsidR="006055D9" w:rsidRPr="006055D9" w:rsidRDefault="006055D9" w:rsidP="006055D9">
      <w:pPr>
        <w:jc w:val="both"/>
        <w:rPr>
          <w:rFonts w:ascii="Arial" w:hAnsi="Arial" w:cs="Arial"/>
          <w:i/>
        </w:rPr>
      </w:pPr>
      <w:r w:rsidRPr="006055D9">
        <w:rPr>
          <w:rFonts w:ascii="Arial" w:hAnsi="Arial" w:cs="Arial"/>
          <w:i/>
        </w:rPr>
        <w:t>La Organización Mundial del Turismo (OMT) (2015) considera que el turismo se ha convertido en un sector clave para el desarrollo, la prosperidad y el bienestar, debido a su gran potencial para el progreso socioeconómico, representado por la creación de puestos de trabajo y empresas, la construcción de infraestructura y la generación de ingresos.</w:t>
      </w:r>
    </w:p>
    <w:p w:rsidR="006055D9" w:rsidRPr="006055D9" w:rsidRDefault="006055D9" w:rsidP="006055D9">
      <w:pPr>
        <w:jc w:val="both"/>
        <w:rPr>
          <w:rFonts w:ascii="Arial" w:hAnsi="Arial" w:cs="Arial"/>
          <w:i/>
        </w:rPr>
      </w:pPr>
    </w:p>
    <w:p w:rsidR="006055D9" w:rsidRPr="006055D9" w:rsidRDefault="006055D9" w:rsidP="006055D9">
      <w:pPr>
        <w:jc w:val="both"/>
        <w:rPr>
          <w:rFonts w:ascii="Arial" w:hAnsi="Arial" w:cs="Arial"/>
          <w:i/>
        </w:rPr>
      </w:pPr>
      <w:r w:rsidRPr="006055D9">
        <w:rPr>
          <w:rFonts w:ascii="Arial" w:hAnsi="Arial" w:cs="Arial"/>
          <w:i/>
        </w:rPr>
        <w:t>En Colombia, el sector turismo se ha convertido en uno de los más importantes sectores para el desarrollo del país, de tal suerte que este se ha posicionado como tercer generador de divisas, justo detrás del petróleo y del carbón (</w:t>
      </w:r>
      <w:proofErr w:type="spellStart"/>
      <w:r w:rsidRPr="006055D9">
        <w:rPr>
          <w:rFonts w:ascii="Arial" w:hAnsi="Arial" w:cs="Arial"/>
          <w:i/>
        </w:rPr>
        <w:t>Lacouture</w:t>
      </w:r>
      <w:proofErr w:type="spellEnd"/>
      <w:r w:rsidRPr="006055D9">
        <w:rPr>
          <w:rFonts w:ascii="Arial" w:hAnsi="Arial" w:cs="Arial"/>
          <w:i/>
        </w:rPr>
        <w:t>, 2016). Según un informe presentado por el Ministerio de Comercio, Industria y Turismo (</w:t>
      </w:r>
      <w:proofErr w:type="spellStart"/>
      <w:r w:rsidRPr="006055D9">
        <w:rPr>
          <w:rFonts w:ascii="Arial" w:hAnsi="Arial" w:cs="Arial"/>
          <w:i/>
        </w:rPr>
        <w:t>MinCIT</w:t>
      </w:r>
      <w:proofErr w:type="spellEnd"/>
      <w:r w:rsidRPr="006055D9">
        <w:rPr>
          <w:rFonts w:ascii="Arial" w:hAnsi="Arial" w:cs="Arial"/>
          <w:i/>
        </w:rPr>
        <w:t xml:space="preserve">) en febrero de 2016, Colombia recibió en el 2015 un total de 5.251 millones de dólares en divisas por concepto </w:t>
      </w:r>
      <w:r w:rsidRPr="006055D9">
        <w:rPr>
          <w:rFonts w:ascii="Arial" w:hAnsi="Arial" w:cs="Arial"/>
          <w:i/>
        </w:rPr>
        <w:lastRenderedPageBreak/>
        <w:t>de turismo, consecuente con la creciente llegada de turistas al país, que contabilizó, para ese año, un total de 4.447.004 viajeros extranjeros</w:t>
      </w:r>
      <w:r w:rsidRPr="006055D9">
        <w:rPr>
          <w:rFonts w:ascii="Arial" w:hAnsi="Arial" w:cs="Arial"/>
          <w:i/>
          <w:vertAlign w:val="superscript"/>
        </w:rPr>
        <w:footnoteReference w:id="1"/>
      </w:r>
    </w:p>
    <w:p w:rsidR="006055D9" w:rsidRPr="006055D9" w:rsidRDefault="006055D9" w:rsidP="006055D9">
      <w:pPr>
        <w:jc w:val="both"/>
        <w:rPr>
          <w:rFonts w:ascii="Arial" w:hAnsi="Arial" w:cs="Arial"/>
        </w:rPr>
      </w:pPr>
    </w:p>
    <w:p w:rsidR="006055D9" w:rsidRPr="006055D9" w:rsidRDefault="006055D9" w:rsidP="006055D9">
      <w:pPr>
        <w:jc w:val="both"/>
        <w:rPr>
          <w:rFonts w:ascii="Arial" w:hAnsi="Arial" w:cs="Arial"/>
        </w:rPr>
      </w:pPr>
      <w:r w:rsidRPr="006055D9">
        <w:rPr>
          <w:rFonts w:ascii="Arial" w:hAnsi="Arial" w:cs="Arial"/>
        </w:rPr>
        <w:t>Esta</w:t>
      </w:r>
      <w:r w:rsidRPr="006055D9">
        <w:rPr>
          <w:rFonts w:ascii="Arial" w:hAnsi="Arial" w:cs="Arial"/>
        </w:rPr>
        <w:t xml:space="preserve"> idea de la construcción de modelos de inclusión por </w:t>
      </w:r>
      <w:r w:rsidRPr="006055D9">
        <w:rPr>
          <w:rFonts w:ascii="Arial" w:hAnsi="Arial" w:cs="Arial"/>
        </w:rPr>
        <w:t>vía</w:t>
      </w:r>
      <w:r w:rsidRPr="006055D9">
        <w:rPr>
          <w:rFonts w:ascii="Arial" w:hAnsi="Arial" w:cs="Arial"/>
        </w:rPr>
        <w:t xml:space="preserve"> de la actividad </w:t>
      </w:r>
      <w:r w:rsidRPr="006055D9">
        <w:rPr>
          <w:rFonts w:ascii="Arial" w:hAnsi="Arial" w:cs="Arial"/>
        </w:rPr>
        <w:t>turística</w:t>
      </w:r>
      <w:r w:rsidRPr="006055D9">
        <w:rPr>
          <w:rFonts w:ascii="Arial" w:hAnsi="Arial" w:cs="Arial"/>
        </w:rPr>
        <w:t xml:space="preserve"> es recogida en el texto de pedro </w:t>
      </w:r>
      <w:r w:rsidRPr="006055D9">
        <w:rPr>
          <w:rFonts w:ascii="Arial" w:hAnsi="Arial" w:cs="Arial"/>
        </w:rPr>
        <w:t>Alejandro</w:t>
      </w:r>
      <w:r w:rsidRPr="006055D9">
        <w:rPr>
          <w:rFonts w:ascii="Arial" w:hAnsi="Arial" w:cs="Arial"/>
        </w:rPr>
        <w:t xml:space="preserve"> </w:t>
      </w:r>
      <w:r w:rsidRPr="006055D9">
        <w:rPr>
          <w:rFonts w:ascii="Arial" w:hAnsi="Arial" w:cs="Arial"/>
        </w:rPr>
        <w:t>Villamizar</w:t>
      </w:r>
      <w:r w:rsidRPr="006055D9">
        <w:rPr>
          <w:rFonts w:ascii="Arial" w:hAnsi="Arial" w:cs="Arial"/>
        </w:rPr>
        <w:t xml:space="preserve"> donde se destaca  </w:t>
      </w:r>
      <w:r w:rsidRPr="006055D9">
        <w:rPr>
          <w:rFonts w:ascii="Arial" w:hAnsi="Arial" w:cs="Arial"/>
        </w:rPr>
        <w:t>que:</w:t>
      </w:r>
      <w:r w:rsidRPr="006055D9">
        <w:rPr>
          <w:rFonts w:ascii="Arial" w:hAnsi="Arial" w:cs="Arial"/>
        </w:rPr>
        <w:t xml:space="preserve"> </w:t>
      </w:r>
    </w:p>
    <w:p w:rsidR="006055D9" w:rsidRPr="006055D9" w:rsidRDefault="006055D9" w:rsidP="006055D9">
      <w:pPr>
        <w:jc w:val="both"/>
        <w:rPr>
          <w:rFonts w:ascii="Arial" w:hAnsi="Arial" w:cs="Arial"/>
        </w:rPr>
      </w:pPr>
    </w:p>
    <w:p w:rsidR="006055D9" w:rsidRPr="006055D9" w:rsidRDefault="006055D9" w:rsidP="006055D9">
      <w:pPr>
        <w:ind w:left="1440"/>
        <w:jc w:val="both"/>
        <w:rPr>
          <w:rFonts w:ascii="Arial" w:hAnsi="Arial" w:cs="Arial"/>
          <w:i/>
        </w:rPr>
      </w:pPr>
      <w:r w:rsidRPr="006055D9">
        <w:rPr>
          <w:rFonts w:ascii="Arial" w:hAnsi="Arial" w:cs="Arial"/>
          <w:i/>
        </w:rPr>
        <w:t xml:space="preserve">“el turismo es una actividad en la que deben </w:t>
      </w:r>
      <w:proofErr w:type="spellStart"/>
      <w:r w:rsidRPr="006055D9">
        <w:rPr>
          <w:rFonts w:ascii="Arial" w:hAnsi="Arial" w:cs="Arial"/>
          <w:i/>
        </w:rPr>
        <w:t>conﬂuir</w:t>
      </w:r>
      <w:proofErr w:type="spellEnd"/>
      <w:r w:rsidRPr="006055D9">
        <w:rPr>
          <w:rFonts w:ascii="Arial" w:hAnsi="Arial" w:cs="Arial"/>
          <w:i/>
        </w:rPr>
        <w:t xml:space="preserve"> diferentes tipos de prestadores de servicios y proveedores de bienes, tales como establecimientos de alojamiento y hospedaje, de gastronomía y bares, guías turísticos, agencias de viajes, entre otros. Gracias a lo anterior, el desarrollo de esta actividad se puede convertir en una oportunidad para </w:t>
      </w:r>
      <w:proofErr w:type="spellStart"/>
      <w:r w:rsidRPr="006055D9">
        <w:rPr>
          <w:rFonts w:ascii="Arial" w:hAnsi="Arial" w:cs="Arial"/>
          <w:i/>
        </w:rPr>
        <w:t>aﬁanzar</w:t>
      </w:r>
      <w:proofErr w:type="spellEnd"/>
      <w:r w:rsidRPr="006055D9">
        <w:rPr>
          <w:rFonts w:ascii="Arial" w:hAnsi="Arial" w:cs="Arial"/>
          <w:i/>
        </w:rPr>
        <w:t xml:space="preserve"> la cohesión social en las comunidades receptoras, de manera que el turismo pueda servir de herramienta constructora de paz, consolidando escenarios de paz en territorios con historial de violencia.”</w:t>
      </w:r>
    </w:p>
    <w:p w:rsidR="006055D9" w:rsidRPr="006055D9" w:rsidRDefault="006055D9" w:rsidP="006055D9">
      <w:pPr>
        <w:ind w:left="1440"/>
        <w:jc w:val="both"/>
        <w:rPr>
          <w:rFonts w:ascii="Arial" w:hAnsi="Arial" w:cs="Arial"/>
          <w:i/>
        </w:rPr>
      </w:pPr>
    </w:p>
    <w:p w:rsidR="006055D9" w:rsidRPr="006055D9" w:rsidRDefault="006055D9" w:rsidP="006055D9">
      <w:pPr>
        <w:jc w:val="both"/>
        <w:rPr>
          <w:rFonts w:ascii="Arial" w:hAnsi="Arial" w:cs="Arial"/>
        </w:rPr>
      </w:pPr>
      <w:r w:rsidRPr="006055D9">
        <w:rPr>
          <w:rFonts w:ascii="Arial" w:hAnsi="Arial" w:cs="Arial"/>
        </w:rPr>
        <w:t xml:space="preserve">Esta aproximación es la razón central para promover el presente proyecto de </w:t>
      </w:r>
      <w:r w:rsidRPr="006055D9">
        <w:rPr>
          <w:rFonts w:ascii="Arial" w:hAnsi="Arial" w:cs="Arial"/>
        </w:rPr>
        <w:t>ley,</w:t>
      </w:r>
      <w:r w:rsidRPr="006055D9">
        <w:rPr>
          <w:rFonts w:ascii="Arial" w:hAnsi="Arial" w:cs="Arial"/>
        </w:rPr>
        <w:t xml:space="preserve"> animado por la idea de la necesaria concertación entre las iniciativas económicas y las comunidades que habitan los territorios de forma tal que no transgredan las construcciones autóctonas, alcancen legitimidad los proyectos y encaucen de forma activa las relaciones profundas que se tejen entre los paisajes, las comunidades y su  cosmogonía. </w:t>
      </w:r>
    </w:p>
    <w:p w:rsidR="00AE0ACD" w:rsidRPr="006055D9" w:rsidRDefault="00AE0ACD" w:rsidP="00AE0ACD">
      <w:pPr>
        <w:jc w:val="both"/>
        <w:rPr>
          <w:rFonts w:ascii="Arial" w:hAnsi="Arial" w:cs="Arial"/>
          <w:lang w:eastAsia="en-US"/>
        </w:rPr>
      </w:pPr>
    </w:p>
    <w:p w:rsidR="00AE0ACD" w:rsidRPr="006055D9" w:rsidRDefault="00AE0ACD" w:rsidP="00B6166B">
      <w:pPr>
        <w:spacing w:before="280" w:after="280" w:line="360" w:lineRule="auto"/>
        <w:jc w:val="both"/>
        <w:rPr>
          <w:rFonts w:ascii="Arial" w:eastAsia="Arial" w:hAnsi="Arial" w:cs="Arial"/>
        </w:rPr>
      </w:pPr>
    </w:p>
    <w:p w:rsidR="00B6166B" w:rsidRPr="006055D9" w:rsidRDefault="00B6166B" w:rsidP="00B6166B">
      <w:pPr>
        <w:spacing w:before="280" w:after="280" w:line="360" w:lineRule="auto"/>
        <w:jc w:val="both"/>
        <w:rPr>
          <w:rFonts w:ascii="Arial" w:eastAsia="Arial" w:hAnsi="Arial" w:cs="Arial"/>
        </w:rPr>
      </w:pPr>
      <w:r w:rsidRPr="006055D9">
        <w:rPr>
          <w:rFonts w:ascii="Arial" w:eastAsia="Arial" w:hAnsi="Arial" w:cs="Arial"/>
        </w:rPr>
        <w:t>Cordialmente,</w:t>
      </w:r>
    </w:p>
    <w:p w:rsidR="00C5482E" w:rsidRPr="006055D9" w:rsidRDefault="00C5482E" w:rsidP="00C5482E">
      <w:pPr>
        <w:spacing w:line="360" w:lineRule="auto"/>
        <w:jc w:val="both"/>
        <w:rPr>
          <w:rFonts w:ascii="Arial" w:eastAsia="Arial" w:hAnsi="Arial" w:cs="Arial"/>
        </w:rPr>
      </w:pPr>
    </w:p>
    <w:p w:rsidR="00195767" w:rsidRPr="006055D9" w:rsidRDefault="00195767" w:rsidP="00195767">
      <w:pPr>
        <w:spacing w:after="0"/>
        <w:rPr>
          <w:rFonts w:ascii="Arial" w:eastAsiaTheme="minorHAnsi" w:hAnsi="Arial" w:cs="Arial"/>
          <w:b/>
          <w:color w:val="000000"/>
          <w:lang w:eastAsia="en-US"/>
        </w:rPr>
      </w:pPr>
      <w:r w:rsidRPr="006055D9">
        <w:rPr>
          <w:rFonts w:ascii="Arial" w:eastAsiaTheme="minorHAnsi" w:hAnsi="Arial" w:cs="Arial"/>
          <w:b/>
          <w:color w:val="000000"/>
          <w:lang w:eastAsia="en-US"/>
        </w:rPr>
        <w:t>FABIÁN DÍAZ PLATA</w:t>
      </w:r>
    </w:p>
    <w:p w:rsidR="00195767" w:rsidRPr="006055D9" w:rsidRDefault="00195767" w:rsidP="00195767">
      <w:pPr>
        <w:spacing w:after="0"/>
        <w:rPr>
          <w:rFonts w:ascii="Arial" w:eastAsiaTheme="minorHAnsi" w:hAnsi="Arial" w:cs="Arial"/>
          <w:color w:val="000000"/>
          <w:lang w:eastAsia="en-US"/>
        </w:rPr>
      </w:pPr>
      <w:r w:rsidRPr="006055D9">
        <w:rPr>
          <w:rFonts w:ascii="Arial" w:eastAsiaTheme="minorHAnsi" w:hAnsi="Arial" w:cs="Arial"/>
          <w:color w:val="000000"/>
          <w:lang w:eastAsia="en-US"/>
        </w:rPr>
        <w:t>Representante a la Cámara</w:t>
      </w:r>
    </w:p>
    <w:p w:rsidR="00195767" w:rsidRPr="006055D9" w:rsidRDefault="00195767" w:rsidP="00195767">
      <w:pPr>
        <w:spacing w:line="360" w:lineRule="auto"/>
        <w:jc w:val="both"/>
        <w:rPr>
          <w:rFonts w:ascii="Arial" w:eastAsia="Arial" w:hAnsi="Arial" w:cs="Arial"/>
        </w:rPr>
      </w:pPr>
      <w:r w:rsidRPr="006055D9">
        <w:rPr>
          <w:rFonts w:ascii="Arial" w:eastAsiaTheme="minorHAnsi" w:hAnsi="Arial" w:cs="Arial"/>
          <w:color w:val="000000"/>
          <w:lang w:eastAsia="en-US"/>
        </w:rPr>
        <w:t>Departamento de Santander</w:t>
      </w:r>
    </w:p>
    <w:sectPr w:rsidR="00195767" w:rsidRPr="006055D9" w:rsidSect="00D04D0C">
      <w:headerReference w:type="default" r:id="rId14"/>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65DE" w:rsidRDefault="00F565DE" w:rsidP="00307E2E">
      <w:pPr>
        <w:spacing w:after="0" w:line="240" w:lineRule="auto"/>
      </w:pPr>
      <w:r>
        <w:separator/>
      </w:r>
    </w:p>
  </w:endnote>
  <w:endnote w:type="continuationSeparator" w:id="0">
    <w:p w:rsidR="00F565DE" w:rsidRDefault="00F565DE"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65DE" w:rsidRDefault="00F565DE" w:rsidP="00307E2E">
      <w:pPr>
        <w:spacing w:after="0" w:line="240" w:lineRule="auto"/>
      </w:pPr>
      <w:r>
        <w:separator/>
      </w:r>
    </w:p>
  </w:footnote>
  <w:footnote w:type="continuationSeparator" w:id="0">
    <w:p w:rsidR="00F565DE" w:rsidRDefault="00F565DE" w:rsidP="00307E2E">
      <w:pPr>
        <w:spacing w:after="0" w:line="240" w:lineRule="auto"/>
      </w:pPr>
      <w:r>
        <w:continuationSeparator/>
      </w:r>
    </w:p>
  </w:footnote>
  <w:footnote w:id="1">
    <w:p w:rsidR="006055D9" w:rsidRDefault="006055D9" w:rsidP="006055D9">
      <w:pPr>
        <w:spacing w:line="240" w:lineRule="auto"/>
        <w:rPr>
          <w:sz w:val="20"/>
          <w:szCs w:val="20"/>
        </w:rPr>
      </w:pPr>
      <w:r>
        <w:rPr>
          <w:vertAlign w:val="superscript"/>
        </w:rPr>
        <w:footnoteRef/>
      </w:r>
      <w:r>
        <w:rPr>
          <w:sz w:val="20"/>
          <w:szCs w:val="20"/>
        </w:rPr>
        <w:t xml:space="preserve"> Villamizar Barahona, Pedro Alejandro Turismo y paz: una apuesta para el desarrollo en la región de Urabá-Darién Revista Opera, núm. 20, 2017 Universidad Externado de Colombia, Colombia</w:t>
      </w:r>
    </w:p>
    <w:p w:rsidR="006055D9" w:rsidRDefault="006055D9" w:rsidP="006055D9">
      <w:pPr>
        <w:spacing w:line="240" w:lineRule="auto"/>
        <w:rPr>
          <w:sz w:val="20"/>
          <w:szCs w:val="20"/>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E4FA9"/>
    <w:multiLevelType w:val="hybridMultilevel"/>
    <w:tmpl w:val="7AFA544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5BA1041"/>
    <w:multiLevelType w:val="hybridMultilevel"/>
    <w:tmpl w:val="A20C0F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C6964A3"/>
    <w:multiLevelType w:val="hybridMultilevel"/>
    <w:tmpl w:val="0B32CAFA"/>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1694606"/>
    <w:multiLevelType w:val="hybridMultilevel"/>
    <w:tmpl w:val="0C10FF0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B0D2D29"/>
    <w:multiLevelType w:val="hybridMultilevel"/>
    <w:tmpl w:val="5FDCE21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41615B48"/>
    <w:multiLevelType w:val="hybridMultilevel"/>
    <w:tmpl w:val="919EC152"/>
    <w:lvl w:ilvl="0" w:tplc="0C0A0011">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9">
    <w:nsid w:val="4A6E1FE7"/>
    <w:multiLevelType w:val="hybridMultilevel"/>
    <w:tmpl w:val="2C18E23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E46149"/>
    <w:multiLevelType w:val="hybridMultilevel"/>
    <w:tmpl w:val="1F4C0E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6E1F7A0E"/>
    <w:multiLevelType w:val="hybridMultilevel"/>
    <w:tmpl w:val="215C1B1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70581DAA"/>
    <w:multiLevelType w:val="multilevel"/>
    <w:tmpl w:val="74D0C6C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70DD1C61"/>
    <w:multiLevelType w:val="hybridMultilevel"/>
    <w:tmpl w:val="DB3E9C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46F1EA3"/>
    <w:multiLevelType w:val="hybridMultilevel"/>
    <w:tmpl w:val="3E7C78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74B339D3"/>
    <w:multiLevelType w:val="hybridMultilevel"/>
    <w:tmpl w:val="0EF4245C"/>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74DC7604"/>
    <w:multiLevelType w:val="multilevel"/>
    <w:tmpl w:val="B66CE37E"/>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DCF3D6A"/>
    <w:multiLevelType w:val="hybridMultilevel"/>
    <w:tmpl w:val="9A60DC36"/>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0"/>
  </w:num>
  <w:num w:numId="2">
    <w:abstractNumId w:val="18"/>
  </w:num>
  <w:num w:numId="3">
    <w:abstractNumId w:val="2"/>
  </w:num>
  <w:num w:numId="4">
    <w:abstractNumId w:val="1"/>
  </w:num>
  <w:num w:numId="5">
    <w:abstractNumId w:val="12"/>
  </w:num>
  <w:num w:numId="6">
    <w:abstractNumId w:val="15"/>
  </w:num>
  <w:num w:numId="7">
    <w:abstractNumId w:val="14"/>
  </w:num>
  <w:num w:numId="8">
    <w:abstractNumId w:val="11"/>
  </w:num>
  <w:num w:numId="9">
    <w:abstractNumId w:val="6"/>
  </w:num>
  <w:num w:numId="10">
    <w:abstractNumId w:val="0"/>
  </w:num>
  <w:num w:numId="11">
    <w:abstractNumId w:val="8"/>
  </w:num>
  <w:num w:numId="12">
    <w:abstractNumId w:val="9"/>
  </w:num>
  <w:num w:numId="13">
    <w:abstractNumId w:val="19"/>
  </w:num>
  <w:num w:numId="14">
    <w:abstractNumId w:val="4"/>
  </w:num>
  <w:num w:numId="15">
    <w:abstractNumId w:val="16"/>
  </w:num>
  <w:num w:numId="16">
    <w:abstractNumId w:val="5"/>
  </w:num>
  <w:num w:numId="17">
    <w:abstractNumId w:val="7"/>
  </w:num>
  <w:num w:numId="18">
    <w:abstractNumId w:val="3"/>
  </w:num>
  <w:num w:numId="19">
    <w:abstractNumId w:val="13"/>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0560"/>
    <w:rsid w:val="000119DA"/>
    <w:rsid w:val="000405B5"/>
    <w:rsid w:val="00044EE6"/>
    <w:rsid w:val="000519B8"/>
    <w:rsid w:val="00055225"/>
    <w:rsid w:val="00065720"/>
    <w:rsid w:val="000657B5"/>
    <w:rsid w:val="000700C0"/>
    <w:rsid w:val="000916F8"/>
    <w:rsid w:val="000921A6"/>
    <w:rsid w:val="00092EB2"/>
    <w:rsid w:val="000B2658"/>
    <w:rsid w:val="000C3F23"/>
    <w:rsid w:val="000D0F4E"/>
    <w:rsid w:val="000D4D0C"/>
    <w:rsid w:val="00116CA5"/>
    <w:rsid w:val="00124610"/>
    <w:rsid w:val="00124C39"/>
    <w:rsid w:val="00132B35"/>
    <w:rsid w:val="00132F83"/>
    <w:rsid w:val="00140F8A"/>
    <w:rsid w:val="00145E3F"/>
    <w:rsid w:val="001543DE"/>
    <w:rsid w:val="00156CA0"/>
    <w:rsid w:val="00161D97"/>
    <w:rsid w:val="001935C6"/>
    <w:rsid w:val="00195767"/>
    <w:rsid w:val="00196893"/>
    <w:rsid w:val="001A4CA6"/>
    <w:rsid w:val="001B5448"/>
    <w:rsid w:val="001D0D0B"/>
    <w:rsid w:val="001D21B6"/>
    <w:rsid w:val="001E51C2"/>
    <w:rsid w:val="0020007F"/>
    <w:rsid w:val="00202544"/>
    <w:rsid w:val="00203C99"/>
    <w:rsid w:val="002068B5"/>
    <w:rsid w:val="00222FBF"/>
    <w:rsid w:val="002323EC"/>
    <w:rsid w:val="002337E5"/>
    <w:rsid w:val="002438F6"/>
    <w:rsid w:val="002A0713"/>
    <w:rsid w:val="002A62E3"/>
    <w:rsid w:val="002D70CE"/>
    <w:rsid w:val="002D7C81"/>
    <w:rsid w:val="002E2E16"/>
    <w:rsid w:val="002E7E39"/>
    <w:rsid w:val="002F688E"/>
    <w:rsid w:val="002F7DE2"/>
    <w:rsid w:val="003049F4"/>
    <w:rsid w:val="00304E5F"/>
    <w:rsid w:val="0030677C"/>
    <w:rsid w:val="00307E2E"/>
    <w:rsid w:val="00311ECC"/>
    <w:rsid w:val="00330CA8"/>
    <w:rsid w:val="0033379B"/>
    <w:rsid w:val="00336538"/>
    <w:rsid w:val="003436C2"/>
    <w:rsid w:val="0034638F"/>
    <w:rsid w:val="00347716"/>
    <w:rsid w:val="003479F1"/>
    <w:rsid w:val="00351416"/>
    <w:rsid w:val="00363D96"/>
    <w:rsid w:val="0036602C"/>
    <w:rsid w:val="0037136C"/>
    <w:rsid w:val="0037517E"/>
    <w:rsid w:val="00383616"/>
    <w:rsid w:val="003863FA"/>
    <w:rsid w:val="00386FEF"/>
    <w:rsid w:val="00392C2C"/>
    <w:rsid w:val="003A0089"/>
    <w:rsid w:val="003A5F9D"/>
    <w:rsid w:val="003B264A"/>
    <w:rsid w:val="003B7DB6"/>
    <w:rsid w:val="003C7AC0"/>
    <w:rsid w:val="003D3AE5"/>
    <w:rsid w:val="003E3BEC"/>
    <w:rsid w:val="003F49D0"/>
    <w:rsid w:val="00401C54"/>
    <w:rsid w:val="00407A20"/>
    <w:rsid w:val="004157F9"/>
    <w:rsid w:val="00420B03"/>
    <w:rsid w:val="00452546"/>
    <w:rsid w:val="00462776"/>
    <w:rsid w:val="00471246"/>
    <w:rsid w:val="004843CA"/>
    <w:rsid w:val="0049501A"/>
    <w:rsid w:val="004A1482"/>
    <w:rsid w:val="004A1FA2"/>
    <w:rsid w:val="004B3CF7"/>
    <w:rsid w:val="004B7178"/>
    <w:rsid w:val="004D2D7F"/>
    <w:rsid w:val="004E1E81"/>
    <w:rsid w:val="00503C1F"/>
    <w:rsid w:val="00505E2C"/>
    <w:rsid w:val="00513854"/>
    <w:rsid w:val="005311CF"/>
    <w:rsid w:val="00536C98"/>
    <w:rsid w:val="005742C5"/>
    <w:rsid w:val="005A08DB"/>
    <w:rsid w:val="005C517D"/>
    <w:rsid w:val="005E17D1"/>
    <w:rsid w:val="005E4379"/>
    <w:rsid w:val="005E60D1"/>
    <w:rsid w:val="00600521"/>
    <w:rsid w:val="006040E5"/>
    <w:rsid w:val="006055D9"/>
    <w:rsid w:val="00627EC0"/>
    <w:rsid w:val="00641FEC"/>
    <w:rsid w:val="00661662"/>
    <w:rsid w:val="006667AF"/>
    <w:rsid w:val="006828DA"/>
    <w:rsid w:val="0069550C"/>
    <w:rsid w:val="00697390"/>
    <w:rsid w:val="006A5E43"/>
    <w:rsid w:val="006B18CE"/>
    <w:rsid w:val="006E1F4B"/>
    <w:rsid w:val="006F2786"/>
    <w:rsid w:val="007443D6"/>
    <w:rsid w:val="007652E4"/>
    <w:rsid w:val="00780725"/>
    <w:rsid w:val="00782969"/>
    <w:rsid w:val="00782C85"/>
    <w:rsid w:val="0078305E"/>
    <w:rsid w:val="00783B6F"/>
    <w:rsid w:val="007A1289"/>
    <w:rsid w:val="007C1EC8"/>
    <w:rsid w:val="007E31F0"/>
    <w:rsid w:val="007F23AE"/>
    <w:rsid w:val="007F2EFF"/>
    <w:rsid w:val="00800DC1"/>
    <w:rsid w:val="00810568"/>
    <w:rsid w:val="008140BC"/>
    <w:rsid w:val="00844DB1"/>
    <w:rsid w:val="00854F9D"/>
    <w:rsid w:val="00855C16"/>
    <w:rsid w:val="00856EE8"/>
    <w:rsid w:val="00873D99"/>
    <w:rsid w:val="008849CC"/>
    <w:rsid w:val="00895F67"/>
    <w:rsid w:val="008A331E"/>
    <w:rsid w:val="008A38B5"/>
    <w:rsid w:val="008A7AC4"/>
    <w:rsid w:val="008B022A"/>
    <w:rsid w:val="008B06A7"/>
    <w:rsid w:val="008B0A09"/>
    <w:rsid w:val="008C521D"/>
    <w:rsid w:val="008C5408"/>
    <w:rsid w:val="008C7B55"/>
    <w:rsid w:val="00921F27"/>
    <w:rsid w:val="00927E8E"/>
    <w:rsid w:val="00932933"/>
    <w:rsid w:val="009355CE"/>
    <w:rsid w:val="00941DA6"/>
    <w:rsid w:val="009423CC"/>
    <w:rsid w:val="00942D96"/>
    <w:rsid w:val="00952848"/>
    <w:rsid w:val="00964F40"/>
    <w:rsid w:val="00975BA2"/>
    <w:rsid w:val="009A4431"/>
    <w:rsid w:val="009C7512"/>
    <w:rsid w:val="009C7A74"/>
    <w:rsid w:val="009D653B"/>
    <w:rsid w:val="009E0010"/>
    <w:rsid w:val="009E1940"/>
    <w:rsid w:val="009E55F7"/>
    <w:rsid w:val="009F2DD1"/>
    <w:rsid w:val="009F2E70"/>
    <w:rsid w:val="00A003BC"/>
    <w:rsid w:val="00A05EDB"/>
    <w:rsid w:val="00A1582E"/>
    <w:rsid w:val="00A17791"/>
    <w:rsid w:val="00A27467"/>
    <w:rsid w:val="00A31675"/>
    <w:rsid w:val="00A36B69"/>
    <w:rsid w:val="00A37AAF"/>
    <w:rsid w:val="00A46184"/>
    <w:rsid w:val="00A56795"/>
    <w:rsid w:val="00A64116"/>
    <w:rsid w:val="00A64F3B"/>
    <w:rsid w:val="00A6549F"/>
    <w:rsid w:val="00A75510"/>
    <w:rsid w:val="00A76DFE"/>
    <w:rsid w:val="00A93611"/>
    <w:rsid w:val="00A968E4"/>
    <w:rsid w:val="00AA2F03"/>
    <w:rsid w:val="00AA7A93"/>
    <w:rsid w:val="00AB2E8B"/>
    <w:rsid w:val="00AD2D50"/>
    <w:rsid w:val="00AD36AB"/>
    <w:rsid w:val="00AE0ACD"/>
    <w:rsid w:val="00AE3224"/>
    <w:rsid w:val="00AE3B03"/>
    <w:rsid w:val="00B06795"/>
    <w:rsid w:val="00B07DB6"/>
    <w:rsid w:val="00B10CD1"/>
    <w:rsid w:val="00B125C2"/>
    <w:rsid w:val="00B20822"/>
    <w:rsid w:val="00B418E6"/>
    <w:rsid w:val="00B4219A"/>
    <w:rsid w:val="00B47AA4"/>
    <w:rsid w:val="00B5749A"/>
    <w:rsid w:val="00B6166B"/>
    <w:rsid w:val="00B73920"/>
    <w:rsid w:val="00B95A85"/>
    <w:rsid w:val="00BB04B1"/>
    <w:rsid w:val="00BB15F3"/>
    <w:rsid w:val="00BC3F13"/>
    <w:rsid w:val="00BD0248"/>
    <w:rsid w:val="00BD4016"/>
    <w:rsid w:val="00BE04D1"/>
    <w:rsid w:val="00BE2965"/>
    <w:rsid w:val="00BF0095"/>
    <w:rsid w:val="00BF23A8"/>
    <w:rsid w:val="00C07ADB"/>
    <w:rsid w:val="00C1785C"/>
    <w:rsid w:val="00C31639"/>
    <w:rsid w:val="00C338C0"/>
    <w:rsid w:val="00C36885"/>
    <w:rsid w:val="00C40EF2"/>
    <w:rsid w:val="00C45304"/>
    <w:rsid w:val="00C47131"/>
    <w:rsid w:val="00C534AF"/>
    <w:rsid w:val="00C5482E"/>
    <w:rsid w:val="00C67052"/>
    <w:rsid w:val="00C731BE"/>
    <w:rsid w:val="00C734A6"/>
    <w:rsid w:val="00C74EF5"/>
    <w:rsid w:val="00C75F44"/>
    <w:rsid w:val="00C82714"/>
    <w:rsid w:val="00C851E2"/>
    <w:rsid w:val="00C87AD0"/>
    <w:rsid w:val="00CB5146"/>
    <w:rsid w:val="00CC55CB"/>
    <w:rsid w:val="00CD6141"/>
    <w:rsid w:val="00CE25BF"/>
    <w:rsid w:val="00CE2B2B"/>
    <w:rsid w:val="00CE2C03"/>
    <w:rsid w:val="00CE794F"/>
    <w:rsid w:val="00CF2F1A"/>
    <w:rsid w:val="00CF730F"/>
    <w:rsid w:val="00D04D0C"/>
    <w:rsid w:val="00D0514B"/>
    <w:rsid w:val="00D12401"/>
    <w:rsid w:val="00D20858"/>
    <w:rsid w:val="00D22638"/>
    <w:rsid w:val="00D22C81"/>
    <w:rsid w:val="00D36E7F"/>
    <w:rsid w:val="00D401FF"/>
    <w:rsid w:val="00D45FAC"/>
    <w:rsid w:val="00D46139"/>
    <w:rsid w:val="00D462EA"/>
    <w:rsid w:val="00D65CE1"/>
    <w:rsid w:val="00D7699F"/>
    <w:rsid w:val="00D82F8E"/>
    <w:rsid w:val="00D8324E"/>
    <w:rsid w:val="00D83457"/>
    <w:rsid w:val="00DA2B7E"/>
    <w:rsid w:val="00DA2E78"/>
    <w:rsid w:val="00DB26AF"/>
    <w:rsid w:val="00DB720B"/>
    <w:rsid w:val="00DB76DF"/>
    <w:rsid w:val="00DC52E5"/>
    <w:rsid w:val="00DE249D"/>
    <w:rsid w:val="00DE57AE"/>
    <w:rsid w:val="00DF24FB"/>
    <w:rsid w:val="00DF340E"/>
    <w:rsid w:val="00E005C9"/>
    <w:rsid w:val="00E0380F"/>
    <w:rsid w:val="00E05F91"/>
    <w:rsid w:val="00E3050D"/>
    <w:rsid w:val="00E335AC"/>
    <w:rsid w:val="00E44076"/>
    <w:rsid w:val="00E52429"/>
    <w:rsid w:val="00E5289B"/>
    <w:rsid w:val="00E54290"/>
    <w:rsid w:val="00E55A07"/>
    <w:rsid w:val="00E5760A"/>
    <w:rsid w:val="00E74695"/>
    <w:rsid w:val="00E779BC"/>
    <w:rsid w:val="00E81784"/>
    <w:rsid w:val="00E82942"/>
    <w:rsid w:val="00E842ED"/>
    <w:rsid w:val="00E852D1"/>
    <w:rsid w:val="00E92B71"/>
    <w:rsid w:val="00EB7C9C"/>
    <w:rsid w:val="00EC2E3C"/>
    <w:rsid w:val="00EC5A79"/>
    <w:rsid w:val="00EC7E14"/>
    <w:rsid w:val="00ED3FF5"/>
    <w:rsid w:val="00ED5267"/>
    <w:rsid w:val="00EF56A6"/>
    <w:rsid w:val="00EF7B3F"/>
    <w:rsid w:val="00F05E11"/>
    <w:rsid w:val="00F063BB"/>
    <w:rsid w:val="00F21040"/>
    <w:rsid w:val="00F2130E"/>
    <w:rsid w:val="00F34345"/>
    <w:rsid w:val="00F40942"/>
    <w:rsid w:val="00F43685"/>
    <w:rsid w:val="00F531F6"/>
    <w:rsid w:val="00F53F47"/>
    <w:rsid w:val="00F565DE"/>
    <w:rsid w:val="00F770CB"/>
    <w:rsid w:val="00F90047"/>
    <w:rsid w:val="00F93B13"/>
    <w:rsid w:val="00F95F17"/>
    <w:rsid w:val="00FC3C1B"/>
    <w:rsid w:val="00FC7CA5"/>
    <w:rsid w:val="00FD5CAF"/>
    <w:rsid w:val="00FE3386"/>
    <w:rsid w:val="00FE7FF8"/>
    <w:rsid w:val="00FF40ED"/>
    <w:rsid w:val="00FF55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7A20"/>
    <w:rPr>
      <w:rFonts w:ascii="Calibri" w:eastAsia="Calibri" w:hAnsi="Calibri" w:cs="Calibri"/>
      <w:lang w:eastAsia="es-CO"/>
    </w:rPr>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9C751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866760">
      <w:bodyDiv w:val="1"/>
      <w:marLeft w:val="0"/>
      <w:marRight w:val="0"/>
      <w:marTop w:val="0"/>
      <w:marBottom w:val="0"/>
      <w:divBdr>
        <w:top w:val="none" w:sz="0" w:space="0" w:color="auto"/>
        <w:left w:val="none" w:sz="0" w:space="0" w:color="auto"/>
        <w:bottom w:val="none" w:sz="0" w:space="0" w:color="auto"/>
        <w:right w:val="none" w:sz="0" w:space="0" w:color="auto"/>
      </w:divBdr>
    </w:div>
    <w:div w:id="113523995">
      <w:bodyDiv w:val="1"/>
      <w:marLeft w:val="0"/>
      <w:marRight w:val="0"/>
      <w:marTop w:val="0"/>
      <w:marBottom w:val="0"/>
      <w:divBdr>
        <w:top w:val="none" w:sz="0" w:space="0" w:color="auto"/>
        <w:left w:val="none" w:sz="0" w:space="0" w:color="auto"/>
        <w:bottom w:val="none" w:sz="0" w:space="0" w:color="auto"/>
        <w:right w:val="none" w:sz="0" w:space="0" w:color="auto"/>
      </w:divBdr>
    </w:div>
    <w:div w:id="453139978">
      <w:bodyDiv w:val="1"/>
      <w:marLeft w:val="0"/>
      <w:marRight w:val="0"/>
      <w:marTop w:val="0"/>
      <w:marBottom w:val="0"/>
      <w:divBdr>
        <w:top w:val="none" w:sz="0" w:space="0" w:color="auto"/>
        <w:left w:val="none" w:sz="0" w:space="0" w:color="auto"/>
        <w:bottom w:val="none" w:sz="0" w:space="0" w:color="auto"/>
        <w:right w:val="none" w:sz="0" w:space="0" w:color="auto"/>
      </w:divBdr>
    </w:div>
    <w:div w:id="500699592">
      <w:bodyDiv w:val="1"/>
      <w:marLeft w:val="0"/>
      <w:marRight w:val="0"/>
      <w:marTop w:val="0"/>
      <w:marBottom w:val="0"/>
      <w:divBdr>
        <w:top w:val="none" w:sz="0" w:space="0" w:color="auto"/>
        <w:left w:val="none" w:sz="0" w:space="0" w:color="auto"/>
        <w:bottom w:val="none" w:sz="0" w:space="0" w:color="auto"/>
        <w:right w:val="none" w:sz="0" w:space="0" w:color="auto"/>
      </w:divBdr>
    </w:div>
    <w:div w:id="543562313">
      <w:bodyDiv w:val="1"/>
      <w:marLeft w:val="0"/>
      <w:marRight w:val="0"/>
      <w:marTop w:val="0"/>
      <w:marBottom w:val="0"/>
      <w:divBdr>
        <w:top w:val="none" w:sz="0" w:space="0" w:color="auto"/>
        <w:left w:val="none" w:sz="0" w:space="0" w:color="auto"/>
        <w:bottom w:val="none" w:sz="0" w:space="0" w:color="auto"/>
        <w:right w:val="none" w:sz="0" w:space="0" w:color="auto"/>
      </w:divBdr>
    </w:div>
    <w:div w:id="646477510">
      <w:bodyDiv w:val="1"/>
      <w:marLeft w:val="0"/>
      <w:marRight w:val="0"/>
      <w:marTop w:val="0"/>
      <w:marBottom w:val="0"/>
      <w:divBdr>
        <w:top w:val="none" w:sz="0" w:space="0" w:color="auto"/>
        <w:left w:val="none" w:sz="0" w:space="0" w:color="auto"/>
        <w:bottom w:val="none" w:sz="0" w:space="0" w:color="auto"/>
        <w:right w:val="none" w:sz="0" w:space="0" w:color="auto"/>
      </w:divBdr>
    </w:div>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 w:id="1584409422">
      <w:bodyDiv w:val="1"/>
      <w:marLeft w:val="0"/>
      <w:marRight w:val="0"/>
      <w:marTop w:val="0"/>
      <w:marBottom w:val="0"/>
      <w:divBdr>
        <w:top w:val="none" w:sz="0" w:space="0" w:color="auto"/>
        <w:left w:val="none" w:sz="0" w:space="0" w:color="auto"/>
        <w:bottom w:val="none" w:sz="0" w:space="0" w:color="auto"/>
        <w:right w:val="none" w:sz="0" w:space="0" w:color="auto"/>
      </w:divBdr>
    </w:div>
    <w:div w:id="1841117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ecretariasenado.gov.co/senado/basedoc/ley_0300_1996.html" TargetMode="External"/><Relationship Id="rId13" Type="http://schemas.openxmlformats.org/officeDocument/2006/relationships/hyperlink" Target="http://www.secretariasenado.gov.co/senado/basedoc/constitucion_politica_1991_pr001.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constitucion_politica_1991_pr001.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ley_0300_1996.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secretariasenado.gov.co/senado/basedoc/ley_0300_1996.html" TargetMode="External"/><Relationship Id="rId4" Type="http://schemas.openxmlformats.org/officeDocument/2006/relationships/settings" Target="settings.xml"/><Relationship Id="rId9" Type="http://schemas.openxmlformats.org/officeDocument/2006/relationships/hyperlink" Target="http://www.secretariasenado.gov.co/senado/basedoc/ley_0300_1996.htm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E53FB-5EDC-4284-BDAA-FF2E8FE0B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1186</Words>
  <Characters>6527</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4</cp:revision>
  <cp:lastPrinted>2019-07-18T21:51:00Z</cp:lastPrinted>
  <dcterms:created xsi:type="dcterms:W3CDTF">2019-07-18T23:08:00Z</dcterms:created>
  <dcterms:modified xsi:type="dcterms:W3CDTF">2019-07-18T23:12:00Z</dcterms:modified>
</cp:coreProperties>
</file>