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501A" w:rsidRPr="0050079B" w:rsidRDefault="0049501A" w:rsidP="00D0514B">
      <w:pPr>
        <w:spacing w:line="360" w:lineRule="auto"/>
        <w:jc w:val="center"/>
        <w:rPr>
          <w:rFonts w:ascii="Arial" w:hAnsi="Arial" w:cs="Arial"/>
        </w:rPr>
      </w:pPr>
    </w:p>
    <w:p w:rsidR="00D0514B" w:rsidRPr="0050079B" w:rsidRDefault="00505E2C" w:rsidP="00D0514B">
      <w:pPr>
        <w:spacing w:line="360" w:lineRule="auto"/>
        <w:ind w:firstLine="708"/>
        <w:jc w:val="center"/>
        <w:rPr>
          <w:rFonts w:ascii="Arial" w:hAnsi="Arial" w:cs="Arial"/>
          <w:b/>
        </w:rPr>
      </w:pPr>
      <w:bookmarkStart w:id="0" w:name="_Hlk14450896"/>
      <w:r w:rsidRPr="0050079B">
        <w:rPr>
          <w:rFonts w:ascii="Arial" w:hAnsi="Arial" w:cs="Arial"/>
          <w:b/>
        </w:rPr>
        <w:t>PROYECTO DE LEY N° __ de 2019</w:t>
      </w:r>
      <w:r w:rsidR="00D0514B" w:rsidRPr="0050079B">
        <w:rPr>
          <w:rFonts w:ascii="Arial" w:hAnsi="Arial" w:cs="Arial"/>
          <w:b/>
        </w:rPr>
        <w:t xml:space="preserve"> CÁMARA</w:t>
      </w:r>
    </w:p>
    <w:p w:rsidR="00E804AC" w:rsidRPr="0050079B" w:rsidRDefault="00E804AC" w:rsidP="00E804AC">
      <w:pPr>
        <w:spacing w:line="360" w:lineRule="auto"/>
        <w:jc w:val="center"/>
        <w:rPr>
          <w:rFonts w:ascii="Arial" w:eastAsia="Calibri" w:hAnsi="Arial" w:cs="Arial"/>
        </w:rPr>
      </w:pPr>
      <w:bookmarkStart w:id="1" w:name="_Hlk14450876"/>
      <w:bookmarkEnd w:id="0"/>
      <w:r w:rsidRPr="0050079B">
        <w:rPr>
          <w:rFonts w:ascii="Arial" w:eastAsia="Calibri" w:hAnsi="Arial" w:cs="Arial"/>
        </w:rPr>
        <w:t>“Por medio de la cual se implementan medidas para proteger y desarrollar la producción agropecuaria nacional”</w:t>
      </w:r>
    </w:p>
    <w:p w:rsidR="003D3AE5" w:rsidRPr="0050079B" w:rsidRDefault="003D3AE5" w:rsidP="00505E2C">
      <w:pPr>
        <w:spacing w:line="360" w:lineRule="auto"/>
        <w:ind w:firstLine="708"/>
        <w:jc w:val="center"/>
        <w:rPr>
          <w:rFonts w:ascii="Arial" w:hAnsi="Arial" w:cs="Arial"/>
          <w:b/>
        </w:rPr>
      </w:pPr>
      <w:r w:rsidRPr="0050079B">
        <w:rPr>
          <w:rFonts w:ascii="Arial" w:hAnsi="Arial" w:cs="Arial"/>
          <w:b/>
        </w:rPr>
        <w:t>EL CONGRESO DE COLOMBIA</w:t>
      </w:r>
    </w:p>
    <w:p w:rsidR="000519B8" w:rsidRPr="0050079B" w:rsidRDefault="003D3AE5" w:rsidP="000519B8">
      <w:pPr>
        <w:spacing w:line="360" w:lineRule="auto"/>
        <w:ind w:firstLine="708"/>
        <w:jc w:val="center"/>
        <w:rPr>
          <w:rFonts w:ascii="Arial" w:hAnsi="Arial" w:cs="Arial"/>
          <w:b/>
        </w:rPr>
      </w:pPr>
      <w:r w:rsidRPr="0050079B">
        <w:rPr>
          <w:rFonts w:ascii="Arial" w:hAnsi="Arial" w:cs="Arial"/>
          <w:b/>
        </w:rPr>
        <w:t>DECRETA</w:t>
      </w:r>
      <w:r w:rsidR="000519B8" w:rsidRPr="0050079B">
        <w:rPr>
          <w:rFonts w:ascii="Arial" w:hAnsi="Arial" w:cs="Arial"/>
          <w:b/>
        </w:rPr>
        <w:t>:</w:t>
      </w:r>
    </w:p>
    <w:bookmarkEnd w:id="1"/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</w:t>
      </w:r>
      <w:r w:rsidRPr="0050079B">
        <w:rPr>
          <w:rFonts w:ascii="Arial" w:eastAsia="Calibri" w:hAnsi="Arial" w:cs="Arial"/>
          <w:b/>
        </w:rPr>
        <w:t>Í</w:t>
      </w:r>
      <w:r w:rsidRPr="0050079B">
        <w:rPr>
          <w:rFonts w:ascii="Arial" w:eastAsia="Calibri" w:hAnsi="Arial" w:cs="Arial"/>
          <w:b/>
        </w:rPr>
        <w:t>CULO 1</w:t>
      </w:r>
      <w:r w:rsidRPr="0050079B">
        <w:rPr>
          <w:rFonts w:ascii="Arial" w:eastAsia="Calibri" w:hAnsi="Arial" w:cs="Arial"/>
          <w:b/>
        </w:rPr>
        <w:t>.</w:t>
      </w:r>
      <w:r w:rsidRPr="0050079B">
        <w:rPr>
          <w:rFonts w:ascii="Arial" w:eastAsia="Calibri" w:hAnsi="Arial" w:cs="Arial"/>
        </w:rPr>
        <w:t xml:space="preserve"> OBJETO. el objeto del presente proyecto de ley es disponer medidas que permitan desarrollar, tecnificar y fortalecer la producción agropecuaria nacional.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</w:t>
      </w:r>
      <w:r w:rsidRPr="0050079B">
        <w:rPr>
          <w:rFonts w:ascii="Arial" w:eastAsia="Calibri" w:hAnsi="Arial" w:cs="Arial"/>
          <w:b/>
        </w:rPr>
        <w:t>Í</w:t>
      </w:r>
      <w:r w:rsidRPr="0050079B">
        <w:rPr>
          <w:rFonts w:ascii="Arial" w:eastAsia="Calibri" w:hAnsi="Arial" w:cs="Arial"/>
          <w:b/>
        </w:rPr>
        <w:t>CULO 2.</w:t>
      </w:r>
      <w:r w:rsidRPr="0050079B">
        <w:rPr>
          <w:rFonts w:ascii="Arial" w:eastAsia="Calibri" w:hAnsi="Arial" w:cs="Arial"/>
        </w:rPr>
        <w:t xml:space="preserve">  Sistema de Abastecimiento y </w:t>
      </w:r>
      <w:r w:rsidR="003B4F01" w:rsidRPr="0050079B">
        <w:rPr>
          <w:rFonts w:ascii="Arial" w:eastAsia="Calibri" w:hAnsi="Arial" w:cs="Arial"/>
        </w:rPr>
        <w:t>Comercialización: Para</w:t>
      </w:r>
      <w:r w:rsidRPr="0050079B">
        <w:rPr>
          <w:rFonts w:ascii="Arial" w:eastAsia="Calibri" w:hAnsi="Arial" w:cs="Arial"/>
        </w:rPr>
        <w:t xml:space="preserve"> efectos de la presente ley se entiende como sistema de abastecimiento y comercialización aquel que refiere al universo de actores, instituciones y procesos relacionados con la colocación de los productos pecuarios, a disposición del consumidor. Incluye también canales de comercialización diferentes a los convencionales, soportados en elementos propios de la Economía Solidaria, los cuales favorecen la relación y el reconocimiento entre el productor y el consumidor a través de circuitos cortos y locales de comercialización.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ARTÍCULO 3.</w:t>
      </w:r>
      <w:r w:rsidRPr="0050079B">
        <w:rPr>
          <w:rFonts w:ascii="Arial" w:eastAsia="Calibri" w:hAnsi="Arial" w:cs="Arial"/>
        </w:rPr>
        <w:t xml:space="preserve"> Acceso al servicio público de Extensión Agropecuaria. Las entidades responsables del servicio público de Extensión Agropecuaria que componen el Sistema Nacional de Innovación Agropecuaria-SNIA y el Subsistema Nacional de Extensión Agropecuaria prestarán atención preferente, regular y continua a las familias, comunidades y organizaciones campesinas, para mejorar las capacidades productivas en aspectos como la diversificación de las unidades de producción, calidad e inocuidad de alimentos; planificación de las explotaciones; en la aplicación y uso de tecnologías y recursos adecuados a la naturaleza de la actividad productiva; así como en el proceso de transición hacia nuevas tecnologías de producción y transformación de productos agropecuarios, con el apoyo de técnicos capacitados en este ámbito.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PARÁGRAFO 1.</w:t>
      </w:r>
      <w:r w:rsidRPr="0050079B">
        <w:rPr>
          <w:rFonts w:ascii="Arial" w:eastAsia="Calibri" w:hAnsi="Arial" w:cs="Arial"/>
        </w:rPr>
        <w:t xml:space="preserve"> El enfoque de Extensión Agropecuaria en la prestación del servicio debe ser participativo, priorizando a los actores asociados a la Economía Campesina y a la Agricultura Familiar.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  <w:b/>
        </w:rPr>
      </w:pP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lastRenderedPageBreak/>
        <w:t>PARÁGRAFO 2.</w:t>
      </w:r>
      <w:r w:rsidRPr="0050079B">
        <w:rPr>
          <w:rFonts w:ascii="Arial" w:eastAsia="Calibri" w:hAnsi="Arial" w:cs="Arial"/>
        </w:rPr>
        <w:t xml:space="preserve"> La Tasa del Servicio Público de Extensión Agropecuaria no aplicará para los campesinos, y de manera especial, para las campesinas sin tierra o con tierra insuficiente; para los trabajadores y trabajadoras con vocación agraria sin tierra o con tierra insuficiente y la población desplazada víctima del conflicto armado; ni para los sujetos de acceso a tierra y formalización a título gratuito definidos en el Artículo 4 del Decreto Ley 902 de 2017.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PARÁGRAFO 3.</w:t>
      </w:r>
      <w:r w:rsidRPr="0050079B">
        <w:rPr>
          <w:rFonts w:ascii="Arial" w:eastAsia="Calibri" w:hAnsi="Arial" w:cs="Arial"/>
        </w:rPr>
        <w:t xml:space="preserve"> El Subsidio a la tarifa de la tasa por la prestación del Servicio Público de Extensión Agropecuaria aplicará para los sujetos de acceso a tierra y formalización a título parcialmente gratuito definidos en el Artículo 5 del Decreto Ley 902 de 2017 y será progresivo.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ARTÍCULO 4.</w:t>
      </w:r>
      <w:r w:rsidRPr="0050079B">
        <w:rPr>
          <w:rFonts w:ascii="Arial" w:eastAsia="Calibri" w:hAnsi="Arial" w:cs="Arial"/>
        </w:rPr>
        <w:t xml:space="preserve"> Generación, innovación y Transferencia De Tecnología. La formulación del Plan Estratégico de Ciencia, Tecnología e Innovación PECTIA tendrá como fundamento operativo la cooperación de las diversas fuentes de conocimiento bajo un modelo de concertación que incluya dinámicas y escenarios de </w:t>
      </w:r>
      <w:proofErr w:type="spellStart"/>
      <w:r w:rsidRPr="0050079B">
        <w:rPr>
          <w:rFonts w:ascii="Arial" w:eastAsia="Calibri" w:hAnsi="Arial" w:cs="Arial"/>
        </w:rPr>
        <w:t>co-producción</w:t>
      </w:r>
      <w:proofErr w:type="spellEnd"/>
      <w:r w:rsidRPr="0050079B">
        <w:rPr>
          <w:rFonts w:ascii="Arial" w:eastAsia="Calibri" w:hAnsi="Arial" w:cs="Arial"/>
        </w:rPr>
        <w:t xml:space="preserve"> y </w:t>
      </w:r>
      <w:proofErr w:type="spellStart"/>
      <w:r w:rsidRPr="0050079B">
        <w:rPr>
          <w:rFonts w:ascii="Arial" w:eastAsia="Calibri" w:hAnsi="Arial" w:cs="Arial"/>
        </w:rPr>
        <w:t>co-construcción</w:t>
      </w:r>
      <w:proofErr w:type="spellEnd"/>
      <w:r w:rsidRPr="0050079B">
        <w:rPr>
          <w:rFonts w:ascii="Arial" w:eastAsia="Calibri" w:hAnsi="Arial" w:cs="Arial"/>
        </w:rPr>
        <w:t xml:space="preserve"> del conocimiento, de modo que los procesos de diagnóstico, generación, implementación, difusión y creación de innovaciones para el sector agropecuario deberán contar con la participación activa del campesinado incluyendo un enfoque territorial y agroecológico.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Todos los planes, programas, proyectos e iniciativas de investigación, desarrollo tecnológico e innovación agropecuaria que se elaboren en el marco del PECTIA, deberán incluir usos, prácticas y conocimientos desarrollados y construidos por el campesinado y la agricultura familiar.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ARTÍCULO 5.</w:t>
      </w:r>
      <w:r w:rsidRPr="0050079B">
        <w:rPr>
          <w:rFonts w:ascii="Arial" w:eastAsia="Calibri" w:hAnsi="Arial" w:cs="Arial"/>
        </w:rPr>
        <w:t xml:space="preserve"> Infraestructura. El Ministerio de Agricultura y Desarrollo Rural en cabeza de la Agencia de Desarrollo Rural fomentará la construcción de infraestructura adecuada, así como la implementación de las tecnologías y equipamientos necesarios para el desarrollo del conjunto del ciclo agroalimentario de la Economía Campesina y la Agricultura Familiar.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 xml:space="preserve">El tipo de infraestructura y equipamientos requeridos se definirán al interior de los Planes de Desarrollo Sostenible de las Zonas de Reserva Campesina o del documento equivalente de planeación para otros Territorios Campesinos en coordinación con los Consejos Municipales de Desarrollo Rural. Lo anterior deberá contar con la participación de las organizaciones campesinas locales y de agricultura familiar local, y Juntas de Acción Comunal.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lastRenderedPageBreak/>
        <w:t>ARTÍCULO 6.</w:t>
      </w:r>
      <w:r w:rsidRPr="0050079B">
        <w:rPr>
          <w:rFonts w:ascii="Arial" w:eastAsia="Calibri" w:hAnsi="Arial" w:cs="Arial"/>
        </w:rPr>
        <w:t xml:space="preserve"> La dinamización y consolidación de la Economía Campesina y de la Agricultura Familiar será financiada mediante recursos provenientes del Presupuesto General de la Nación, y de aquellos contemplados en el Artículo 5 del Decreto 267 del 17 de junio de 2014 del Ministerio de Agricultura y Desarrollo Rural.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</w:t>
      </w:r>
      <w:r w:rsidRPr="0050079B">
        <w:rPr>
          <w:rFonts w:ascii="Arial" w:eastAsia="Calibri" w:hAnsi="Arial" w:cs="Arial"/>
          <w:b/>
        </w:rPr>
        <w:t>Í</w:t>
      </w:r>
      <w:r w:rsidRPr="0050079B">
        <w:rPr>
          <w:rFonts w:ascii="Arial" w:eastAsia="Calibri" w:hAnsi="Arial" w:cs="Arial"/>
          <w:b/>
        </w:rPr>
        <w:t>CULO 7</w:t>
      </w:r>
      <w:r w:rsidRPr="0050079B">
        <w:rPr>
          <w:rFonts w:ascii="Arial" w:eastAsia="Calibri" w:hAnsi="Arial" w:cs="Arial"/>
          <w:b/>
        </w:rPr>
        <w:t>.</w:t>
      </w:r>
      <w:r w:rsidRPr="0050079B">
        <w:rPr>
          <w:rFonts w:ascii="Arial" w:eastAsia="Calibri" w:hAnsi="Arial" w:cs="Arial"/>
        </w:rPr>
        <w:t xml:space="preserve"> Créase una Línea Especial de Crédito a través de FINAGRO con una tasa de interés preferencial inferior a la tasa más baja del mercado para financiar proyectos, adquisición de tecnología y equipos para los fines de la Economía Campesina y la Agricultura Familiar. Se brindará un periodo de gracia que reglamentará el Gobierno Nacional con el fin de agendar el pago una vez haya disponibilidad de recursos obtenidos por la cosecha.  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</w:t>
      </w:r>
      <w:r w:rsidRPr="0050079B">
        <w:rPr>
          <w:rFonts w:ascii="Arial" w:eastAsia="Calibri" w:hAnsi="Arial" w:cs="Arial"/>
          <w:b/>
        </w:rPr>
        <w:t>Í</w:t>
      </w:r>
      <w:r w:rsidRPr="0050079B">
        <w:rPr>
          <w:rFonts w:ascii="Arial" w:eastAsia="Calibri" w:hAnsi="Arial" w:cs="Arial"/>
          <w:b/>
        </w:rPr>
        <w:t>CULO 8</w:t>
      </w:r>
      <w:r w:rsidRPr="0050079B">
        <w:rPr>
          <w:rFonts w:ascii="Arial" w:eastAsia="Calibri" w:hAnsi="Arial" w:cs="Arial"/>
          <w:b/>
        </w:rPr>
        <w:t>.</w:t>
      </w:r>
      <w:r w:rsidRPr="0050079B">
        <w:rPr>
          <w:rFonts w:ascii="Arial" w:eastAsia="Calibri" w:hAnsi="Arial" w:cs="Arial"/>
        </w:rPr>
        <w:t xml:space="preserve"> Fondo de Fomento para la Economía Solidaria. Se establecerá un fondo especial destinado para la inversión social que tendrá por objeto la consolidación y fortalecimiento de las múltiples formas asociativas en el marco de la Economía Social y Solidaria, así como su articulación en sistemas de conexión local, regional y nacional.</w:t>
      </w:r>
    </w:p>
    <w:p w:rsidR="00E804AC" w:rsidRPr="0050079B" w:rsidRDefault="00E804AC" w:rsidP="00E804AC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  <w:b/>
        </w:rPr>
        <w:t>ART</w:t>
      </w:r>
      <w:r w:rsidRPr="0050079B">
        <w:rPr>
          <w:rFonts w:ascii="Arial" w:eastAsia="Calibri" w:hAnsi="Arial" w:cs="Arial"/>
          <w:b/>
        </w:rPr>
        <w:t>Í</w:t>
      </w:r>
      <w:r w:rsidRPr="0050079B">
        <w:rPr>
          <w:rFonts w:ascii="Arial" w:eastAsia="Calibri" w:hAnsi="Arial" w:cs="Arial"/>
          <w:b/>
        </w:rPr>
        <w:t>CULO 9</w:t>
      </w:r>
      <w:r w:rsidRPr="0050079B">
        <w:rPr>
          <w:rFonts w:ascii="Arial" w:eastAsia="Calibri" w:hAnsi="Arial" w:cs="Arial"/>
          <w:b/>
        </w:rPr>
        <w:t>.</w:t>
      </w:r>
      <w:r w:rsidRPr="0050079B">
        <w:rPr>
          <w:rFonts w:ascii="Arial" w:eastAsia="Calibri" w:hAnsi="Arial" w:cs="Arial"/>
        </w:rPr>
        <w:t xml:space="preserve"> </w:t>
      </w:r>
      <w:r w:rsidRPr="0050079B">
        <w:rPr>
          <w:rFonts w:ascii="Arial" w:eastAsia="Calibri" w:hAnsi="Arial" w:cs="Arial"/>
        </w:rPr>
        <w:t>L</w:t>
      </w:r>
      <w:r w:rsidRPr="0050079B">
        <w:rPr>
          <w:rFonts w:ascii="Arial" w:eastAsia="Calibri" w:hAnsi="Arial" w:cs="Arial"/>
        </w:rPr>
        <w:t>a presente ley rige a partir de su publicación y deroga todas las disposiciones que le resulten contrarias.</w:t>
      </w:r>
    </w:p>
    <w:p w:rsidR="00C82714" w:rsidRPr="0050079B" w:rsidRDefault="00C82714" w:rsidP="00C82714">
      <w:pPr>
        <w:spacing w:line="360" w:lineRule="auto"/>
        <w:jc w:val="both"/>
        <w:rPr>
          <w:rFonts w:ascii="Arial" w:hAnsi="Arial" w:cs="Arial"/>
        </w:rPr>
      </w:pPr>
    </w:p>
    <w:p w:rsidR="00C82714" w:rsidRPr="0050079B" w:rsidRDefault="00C82714" w:rsidP="00C82714">
      <w:pPr>
        <w:spacing w:line="360" w:lineRule="auto"/>
        <w:jc w:val="both"/>
        <w:rPr>
          <w:rFonts w:ascii="Arial" w:hAnsi="Arial" w:cs="Arial"/>
        </w:rPr>
      </w:pPr>
    </w:p>
    <w:p w:rsidR="00D0514B" w:rsidRPr="0050079B" w:rsidRDefault="00D0514B" w:rsidP="00942D96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50079B">
        <w:rPr>
          <w:rFonts w:ascii="Arial" w:hAnsi="Arial" w:cs="Arial"/>
          <w:b/>
          <w:color w:val="000000"/>
          <w:sz w:val="22"/>
          <w:szCs w:val="22"/>
        </w:rPr>
        <w:t>FABIÁN DÍAZ PLATA</w:t>
      </w:r>
    </w:p>
    <w:p w:rsidR="00D0514B" w:rsidRPr="0050079B" w:rsidRDefault="00D0514B" w:rsidP="00942D96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50079B">
        <w:rPr>
          <w:rFonts w:ascii="Arial" w:hAnsi="Arial" w:cs="Arial"/>
          <w:color w:val="000000"/>
          <w:sz w:val="22"/>
          <w:szCs w:val="22"/>
        </w:rPr>
        <w:t xml:space="preserve">Representante a la Cámara </w:t>
      </w:r>
    </w:p>
    <w:p w:rsidR="00D0514B" w:rsidRPr="0050079B" w:rsidRDefault="00D0514B" w:rsidP="00942D96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50079B">
        <w:rPr>
          <w:rFonts w:ascii="Arial" w:hAnsi="Arial" w:cs="Arial"/>
          <w:color w:val="000000"/>
          <w:sz w:val="22"/>
          <w:szCs w:val="22"/>
        </w:rPr>
        <w:t>Departamento de Santander</w:t>
      </w:r>
    </w:p>
    <w:p w:rsidR="007F23AE" w:rsidRPr="0050079B" w:rsidRDefault="007F23AE" w:rsidP="00D0514B">
      <w:pPr>
        <w:pStyle w:val="NormalWeb"/>
        <w:spacing w:before="0"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7F23AE" w:rsidRPr="0050079B" w:rsidRDefault="007F23AE" w:rsidP="00D0514B">
      <w:pPr>
        <w:pStyle w:val="NormalWeb"/>
        <w:spacing w:before="0"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0519B8" w:rsidRPr="0050079B" w:rsidRDefault="000519B8" w:rsidP="00D0514B">
      <w:pPr>
        <w:pStyle w:val="NormalWeb"/>
        <w:spacing w:before="0"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1543DE" w:rsidRPr="0050079B" w:rsidRDefault="001543DE" w:rsidP="00CB4F8D">
      <w:pPr>
        <w:spacing w:line="360" w:lineRule="auto"/>
        <w:rPr>
          <w:rFonts w:ascii="Arial" w:eastAsia="Times New Roman" w:hAnsi="Arial" w:cs="Arial"/>
          <w:color w:val="000000"/>
          <w:lang w:eastAsia="es-CO"/>
        </w:rPr>
      </w:pPr>
    </w:p>
    <w:p w:rsidR="003B4F01" w:rsidRPr="0050079B" w:rsidRDefault="003B4F01" w:rsidP="00CB4F8D">
      <w:pPr>
        <w:spacing w:line="360" w:lineRule="auto"/>
        <w:rPr>
          <w:rFonts w:ascii="Arial" w:eastAsia="Times New Roman" w:hAnsi="Arial" w:cs="Arial"/>
          <w:color w:val="000000"/>
          <w:lang w:eastAsia="es-CO"/>
        </w:rPr>
      </w:pPr>
    </w:p>
    <w:p w:rsidR="003B4F01" w:rsidRPr="0050079B" w:rsidRDefault="003B4F01" w:rsidP="00CB4F8D">
      <w:pPr>
        <w:spacing w:line="360" w:lineRule="auto"/>
        <w:rPr>
          <w:rFonts w:ascii="Arial" w:eastAsia="Times New Roman" w:hAnsi="Arial" w:cs="Arial"/>
          <w:color w:val="000000"/>
          <w:lang w:eastAsia="es-CO"/>
        </w:rPr>
      </w:pPr>
    </w:p>
    <w:p w:rsidR="003B4F01" w:rsidRPr="0050079B" w:rsidRDefault="003B4F01" w:rsidP="00CB4F8D">
      <w:pPr>
        <w:spacing w:line="360" w:lineRule="auto"/>
        <w:rPr>
          <w:rFonts w:ascii="Arial" w:eastAsia="Times New Roman" w:hAnsi="Arial" w:cs="Arial"/>
          <w:color w:val="000000"/>
          <w:lang w:eastAsia="es-CO"/>
        </w:rPr>
      </w:pPr>
    </w:p>
    <w:p w:rsidR="003B4F01" w:rsidRPr="0050079B" w:rsidRDefault="003B4F01" w:rsidP="00CB4F8D">
      <w:pPr>
        <w:spacing w:line="360" w:lineRule="auto"/>
        <w:rPr>
          <w:rFonts w:ascii="Arial" w:eastAsia="Times New Roman" w:hAnsi="Arial" w:cs="Arial"/>
          <w:color w:val="000000"/>
          <w:lang w:eastAsia="es-CO"/>
        </w:rPr>
      </w:pPr>
    </w:p>
    <w:p w:rsidR="00CB4F8D" w:rsidRPr="0050079B" w:rsidRDefault="00CB4F8D" w:rsidP="00CB4F8D">
      <w:pPr>
        <w:spacing w:line="360" w:lineRule="auto"/>
        <w:rPr>
          <w:rFonts w:ascii="Arial" w:hAnsi="Arial" w:cs="Arial"/>
          <w:b/>
        </w:rPr>
      </w:pPr>
    </w:p>
    <w:p w:rsidR="00462776" w:rsidRPr="0050079B" w:rsidRDefault="00462776" w:rsidP="00462776">
      <w:pPr>
        <w:spacing w:line="360" w:lineRule="auto"/>
        <w:jc w:val="center"/>
        <w:rPr>
          <w:rFonts w:ascii="Arial" w:hAnsi="Arial" w:cs="Arial"/>
          <w:b/>
        </w:rPr>
      </w:pPr>
      <w:r w:rsidRPr="0050079B">
        <w:rPr>
          <w:rFonts w:ascii="Arial" w:hAnsi="Arial" w:cs="Arial"/>
          <w:b/>
        </w:rPr>
        <w:lastRenderedPageBreak/>
        <w:t>EXPOSICIÓN DE MOTIVOS</w:t>
      </w:r>
    </w:p>
    <w:p w:rsidR="003B4F01" w:rsidRPr="0050079B" w:rsidRDefault="003B4F01" w:rsidP="003B4F01">
      <w:pPr>
        <w:spacing w:line="360" w:lineRule="auto"/>
        <w:ind w:firstLine="708"/>
        <w:jc w:val="center"/>
        <w:rPr>
          <w:rFonts w:ascii="Arial" w:hAnsi="Arial" w:cs="Arial"/>
          <w:b/>
        </w:rPr>
      </w:pPr>
      <w:r w:rsidRPr="0050079B">
        <w:rPr>
          <w:rFonts w:ascii="Arial" w:hAnsi="Arial" w:cs="Arial"/>
          <w:b/>
        </w:rPr>
        <w:t>PROYECTO DE LEY N° __ de 2019 CÁMARA</w:t>
      </w:r>
    </w:p>
    <w:p w:rsidR="003B4F01" w:rsidRPr="0050079B" w:rsidRDefault="003B4F01" w:rsidP="003B4F01">
      <w:pPr>
        <w:spacing w:line="360" w:lineRule="auto"/>
        <w:jc w:val="center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“Por medio de la cual se implementan medidas para proteger y desarrollar la producción agropecuaria nacional”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 xml:space="preserve">El presente proyecto de ley se inspira y retoma algunas de las disposiciones contenidas en el proyecto de ley 216 de </w:t>
      </w:r>
      <w:r w:rsidRPr="0050079B">
        <w:rPr>
          <w:rFonts w:ascii="Arial" w:eastAsia="Calibri" w:hAnsi="Arial" w:cs="Arial"/>
        </w:rPr>
        <w:t>2017,</w:t>
      </w:r>
      <w:r w:rsidRPr="0050079B">
        <w:rPr>
          <w:rFonts w:ascii="Arial" w:eastAsia="Calibri" w:hAnsi="Arial" w:cs="Arial"/>
        </w:rPr>
        <w:t xml:space="preserve"> que </w:t>
      </w:r>
      <w:r w:rsidRPr="0050079B">
        <w:rPr>
          <w:rFonts w:ascii="Arial" w:eastAsia="Calibri" w:hAnsi="Arial" w:cs="Arial"/>
        </w:rPr>
        <w:t>promovía</w:t>
      </w:r>
      <w:r w:rsidRPr="0050079B">
        <w:rPr>
          <w:rFonts w:ascii="Arial" w:eastAsia="Calibri" w:hAnsi="Arial" w:cs="Arial"/>
        </w:rPr>
        <w:t xml:space="preserve"> una serie de medidas en favor de la </w:t>
      </w:r>
      <w:r w:rsidRPr="0050079B">
        <w:rPr>
          <w:rFonts w:ascii="Arial" w:eastAsia="Calibri" w:hAnsi="Arial" w:cs="Arial"/>
        </w:rPr>
        <w:t>población</w:t>
      </w:r>
      <w:r w:rsidRPr="0050079B">
        <w:rPr>
          <w:rFonts w:ascii="Arial" w:eastAsia="Calibri" w:hAnsi="Arial" w:cs="Arial"/>
        </w:rPr>
        <w:t xml:space="preserve"> campesina y las </w:t>
      </w:r>
      <w:r w:rsidRPr="0050079B">
        <w:rPr>
          <w:rFonts w:ascii="Arial" w:eastAsia="Calibri" w:hAnsi="Arial" w:cs="Arial"/>
        </w:rPr>
        <w:t>economías</w:t>
      </w:r>
      <w:r w:rsidRPr="0050079B">
        <w:rPr>
          <w:rFonts w:ascii="Arial" w:eastAsia="Calibri" w:hAnsi="Arial" w:cs="Arial"/>
        </w:rPr>
        <w:t xml:space="preserve"> de este sujeto de especial </w:t>
      </w:r>
      <w:r w:rsidRPr="0050079B">
        <w:rPr>
          <w:rFonts w:ascii="Arial" w:eastAsia="Calibri" w:hAnsi="Arial" w:cs="Arial"/>
        </w:rPr>
        <w:t>protección</w:t>
      </w:r>
      <w:r w:rsidRPr="0050079B">
        <w:rPr>
          <w:rFonts w:ascii="Arial" w:eastAsia="Calibri" w:hAnsi="Arial" w:cs="Arial"/>
        </w:rPr>
        <w:t xml:space="preserve"> recogiendo el marco normativo existente.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Teniendo en cuenta el Artículo 1° de la Ley 160 de 1994, puede afirmarse de la misma que es una expresión o desarrollo de los artículos superiores 64, 65 y 66, cuyo alcance fue señalado en la Sentencia C-021 de 1994: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“(…) particularmente, los artículos 64, 65 y 66 de la Carta Política tienen el carácter de ordenamientos programáticos, que constituyen el fundamento de la acción del Estado para crear las condiciones necesarias que permitan el acceso de los trabajadores agrarios a la propiedad de la tierra, y a los servicios de educación, salud, vivienda, seguridad social, recreación y crédito, e igualmente dar prioridad, apoyo y especial protección al desarrollo de las obras de infraestructura física en el campo […]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El contenido normativo en cuestión entraña el diseño de una estrategia global del desarrollo rural que el Constituyente configuró como un cometido estatal destinado a lograr el crecimiento del sector campesino y consecuencialmente, un mejoramiento sustancial de la calidad de vida de la población rural”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De este orden programático es necesario resaltar además del Artículo 64, el Artículo 65 de la Carta Política: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 xml:space="preserve">“Artículo 65. </w:t>
      </w:r>
      <w:r w:rsidRPr="0050079B">
        <w:rPr>
          <w:rFonts w:ascii="Arial" w:eastAsia="Calibri" w:hAnsi="Arial" w:cs="Arial"/>
          <w:b/>
        </w:rPr>
        <w:t>La producción de alimentos gozará de la especial protección del Estado</w:t>
      </w:r>
      <w:r w:rsidRPr="0050079B">
        <w:rPr>
          <w:rFonts w:ascii="Arial" w:eastAsia="Calibri" w:hAnsi="Arial" w:cs="Arial"/>
        </w:rPr>
        <w:t xml:space="preserve">. Para tal efecto, se otorgará prioridad al desarrollo integral de las actividades agrícolas, pecuarias, pesqueras, forestales y agroindustriales, así como también a la construcción de </w:t>
      </w:r>
      <w:r w:rsidRPr="0050079B">
        <w:rPr>
          <w:rFonts w:ascii="Arial" w:eastAsia="Calibri" w:hAnsi="Arial" w:cs="Arial"/>
        </w:rPr>
        <w:lastRenderedPageBreak/>
        <w:t>obras de infraestructura física y adecuación de tierras. De igual manera, el Estado promoverá la investigación y la transferencia de tecnología para la producción de alimentos y materias primas de origen agropecuario, con el propósito de incrementar la productividad” (C.P. 1991 énfasis nuestro).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 xml:space="preserve">La corte Constitucional al referirse a este Articulo Superior ha definido mediante sentencia C-644 de 2012 que la especial protección del Estado a la producción de alimentos implica asumir la “(..) seguridad alimentaria como principio y, por esa vía, [exigir] al Estado la protección e impulso de la producción de alimentos”. De manera adicional, la sentencia previamente citada y soportándose en otros desarrollos jurisprudenciales (Sentencia C-506 de 1992 y C-864 de 2006), indica que tal orientación debe llevar a la consolidación del mercado interno, pues </w:t>
      </w:r>
      <w:r w:rsidRPr="0050079B">
        <w:rPr>
          <w:rFonts w:ascii="Arial" w:eastAsia="Calibri" w:hAnsi="Arial" w:cs="Arial"/>
          <w:i/>
        </w:rPr>
        <w:t>“(…) vulnera el deber de seguridad alimentaria reconocido en el artículo 65 del Texto Superior, cuando se desconoce el grado de garantía que debe tener toda población, de disponer y tener acceso oportuno y permanente a los alimentos que cubran sus requerimientos nutricionales</w:t>
      </w:r>
      <w:r w:rsidRPr="0050079B">
        <w:rPr>
          <w:rFonts w:ascii="Arial" w:eastAsia="Calibri" w:hAnsi="Arial" w:cs="Arial"/>
          <w:b/>
          <w:i/>
        </w:rPr>
        <w:t>, tratando de reducir la dependencia externa tomando en consideración la conservación y el equilibrio del ecosistema para el beneficio de las generaciones</w:t>
      </w:r>
      <w:r w:rsidRPr="0050079B">
        <w:rPr>
          <w:rFonts w:ascii="Arial" w:eastAsia="Calibri" w:hAnsi="Arial" w:cs="Arial"/>
          <w:i/>
        </w:rPr>
        <w:t>”</w:t>
      </w:r>
      <w:r w:rsidRPr="0050079B">
        <w:rPr>
          <w:rFonts w:ascii="Arial" w:eastAsia="Calibri" w:hAnsi="Arial" w:cs="Arial"/>
          <w:b/>
        </w:rPr>
        <w:t xml:space="preserve">. La </w:t>
      </w:r>
      <w:r w:rsidRPr="0050079B">
        <w:rPr>
          <w:rFonts w:ascii="Arial" w:eastAsia="Calibri" w:hAnsi="Arial" w:cs="Arial"/>
          <w:b/>
          <w:i/>
        </w:rPr>
        <w:t>población</w:t>
      </w:r>
      <w:r w:rsidRPr="0050079B">
        <w:rPr>
          <w:rFonts w:ascii="Arial" w:eastAsia="Calibri" w:hAnsi="Arial" w:cs="Arial"/>
          <w:b/>
        </w:rPr>
        <w:t xml:space="preserve"> es la sociedad colombiana y, por tal circunstancia, en la producción de alimentos debe primar el mercado interno</w:t>
      </w:r>
      <w:r w:rsidRPr="0050079B">
        <w:rPr>
          <w:rFonts w:ascii="Arial" w:eastAsia="Calibri" w:hAnsi="Arial" w:cs="Arial"/>
        </w:rPr>
        <w:t xml:space="preserve"> (…)” </w:t>
      </w: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>A la necesidad de la protección de la producción de alimentos por parte del campesinado, actividad que debe ser protegida y consolidada por el Estado en tanto es su deber constitucional, puede sumársele el argumento de la eficiencia económica de esta población bajo la premisa de que “Los pequeños/as productores/as son un motor de la economía que genera empleo e ingresos en el área rural y constituyen un factor clave para la seguridad alimentaria en la región y en un sector ineludible para avanzar en la superación de la pobreza y la desigualdad” (Bernal Ruiz, 2013: 6). De acuerdo a Bernal (2013) “Dentro del sector agrícola nacional, la participación de la producción predominantemente campesina de la superficie cosechada, según Forero et al. (2010) es del orden del 67% y en valor de la producción corresponde al 62, 9%. Además, la agricultura familiar equivale al 87% de las explotaciones (BID-FAO, 2007)</w:t>
      </w:r>
      <w:r w:rsidRPr="0050079B">
        <w:rPr>
          <w:rFonts w:ascii="Arial" w:eastAsia="Calibri" w:hAnsi="Arial" w:cs="Arial"/>
        </w:rPr>
        <w:t>”.</w:t>
      </w:r>
      <w:bookmarkStart w:id="2" w:name="_GoBack"/>
      <w:bookmarkEnd w:id="2"/>
    </w:p>
    <w:p w:rsidR="0050079B" w:rsidRPr="0050079B" w:rsidRDefault="0050079B" w:rsidP="0050079B">
      <w:pPr>
        <w:spacing w:line="360" w:lineRule="auto"/>
        <w:jc w:val="both"/>
        <w:rPr>
          <w:rFonts w:ascii="Arial" w:eastAsia="Calibri" w:hAnsi="Arial" w:cs="Arial"/>
        </w:rPr>
      </w:pPr>
      <w:r w:rsidRPr="0050079B">
        <w:rPr>
          <w:rFonts w:ascii="Arial" w:eastAsia="Calibri" w:hAnsi="Arial" w:cs="Arial"/>
        </w:rPr>
        <w:t xml:space="preserve">A pesar de los mandatos constitucionales previamente reseñados, la realidad del sector agropecuario, y en particular de las economías campesinas y de la agricultura familiar no </w:t>
      </w:r>
      <w:r w:rsidRPr="0050079B">
        <w:rPr>
          <w:rFonts w:ascii="Arial" w:eastAsia="Calibri" w:hAnsi="Arial" w:cs="Arial"/>
        </w:rPr>
        <w:lastRenderedPageBreak/>
        <w:t xml:space="preserve">se corresponde, en modo alguno, con los mismos, tratar de situar en el centro de la agenda nacional los requerimientos del campesinado es un </w:t>
      </w:r>
      <w:r w:rsidRPr="0050079B">
        <w:rPr>
          <w:rFonts w:ascii="Arial" w:eastAsia="Calibri" w:hAnsi="Arial" w:cs="Arial"/>
        </w:rPr>
        <w:t>esfuerzo,</w:t>
      </w:r>
      <w:r w:rsidRPr="0050079B">
        <w:rPr>
          <w:rFonts w:ascii="Arial" w:eastAsia="Calibri" w:hAnsi="Arial" w:cs="Arial"/>
        </w:rPr>
        <w:t xml:space="preserve"> que se compadece con una idea de desarrollo inclusivo, participativo y técnicamente sustentado. por estas razones proponemos al congreso de la república el presente proyecto de ley.  </w:t>
      </w:r>
    </w:p>
    <w:p w:rsidR="003B4F01" w:rsidRPr="0050079B" w:rsidRDefault="003B4F01" w:rsidP="0050079B">
      <w:pPr>
        <w:spacing w:line="360" w:lineRule="auto"/>
        <w:jc w:val="both"/>
        <w:rPr>
          <w:rFonts w:ascii="Arial" w:hAnsi="Arial" w:cs="Arial"/>
          <w:b/>
        </w:rPr>
      </w:pPr>
    </w:p>
    <w:p w:rsidR="000D0F4E" w:rsidRPr="0050079B" w:rsidRDefault="008B06A7" w:rsidP="00B418E6">
      <w:pPr>
        <w:spacing w:line="360" w:lineRule="auto"/>
        <w:jc w:val="both"/>
        <w:rPr>
          <w:rFonts w:ascii="Arial" w:hAnsi="Arial" w:cs="Arial"/>
        </w:rPr>
      </w:pPr>
      <w:r w:rsidRPr="0050079B">
        <w:rPr>
          <w:rFonts w:ascii="Arial" w:hAnsi="Arial" w:cs="Arial"/>
        </w:rPr>
        <w:t>Atentamente,</w:t>
      </w:r>
    </w:p>
    <w:p w:rsidR="007F23AE" w:rsidRPr="0050079B" w:rsidRDefault="007F23AE" w:rsidP="00B418E6">
      <w:pPr>
        <w:spacing w:line="360" w:lineRule="auto"/>
        <w:jc w:val="both"/>
        <w:rPr>
          <w:rFonts w:ascii="Arial" w:hAnsi="Arial" w:cs="Arial"/>
        </w:rPr>
      </w:pPr>
    </w:p>
    <w:p w:rsidR="003863FA" w:rsidRPr="0050079B" w:rsidRDefault="003863FA" w:rsidP="007F23AE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50079B">
        <w:rPr>
          <w:rFonts w:ascii="Arial" w:hAnsi="Arial" w:cs="Arial"/>
          <w:b/>
          <w:color w:val="000000"/>
          <w:sz w:val="22"/>
          <w:szCs w:val="22"/>
        </w:rPr>
        <w:t>FABIÁN DÍAZ PLATA</w:t>
      </w:r>
    </w:p>
    <w:p w:rsidR="003863FA" w:rsidRPr="0050079B" w:rsidRDefault="003863FA" w:rsidP="007F23AE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50079B">
        <w:rPr>
          <w:rFonts w:ascii="Arial" w:hAnsi="Arial" w:cs="Arial"/>
          <w:color w:val="000000"/>
          <w:sz w:val="22"/>
          <w:szCs w:val="22"/>
        </w:rPr>
        <w:t xml:space="preserve">Representante a la Cámara </w:t>
      </w:r>
    </w:p>
    <w:p w:rsidR="003863FA" w:rsidRPr="0050079B" w:rsidRDefault="003863FA" w:rsidP="007F23AE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50079B">
        <w:rPr>
          <w:rFonts w:ascii="Arial" w:hAnsi="Arial" w:cs="Arial"/>
          <w:color w:val="000000"/>
          <w:sz w:val="22"/>
          <w:szCs w:val="22"/>
        </w:rPr>
        <w:t>Departamento de Santander</w:t>
      </w:r>
    </w:p>
    <w:sectPr w:rsidR="003863FA" w:rsidRPr="0050079B" w:rsidSect="00C75F44">
      <w:head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09C8" w:rsidRDefault="00CF09C8" w:rsidP="00307E2E">
      <w:pPr>
        <w:spacing w:after="0" w:line="240" w:lineRule="auto"/>
      </w:pPr>
      <w:r>
        <w:separator/>
      </w:r>
    </w:p>
  </w:endnote>
  <w:endnote w:type="continuationSeparator" w:id="0">
    <w:p w:rsidR="00CF09C8" w:rsidRDefault="00CF09C8" w:rsidP="00307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09C8" w:rsidRDefault="00CF09C8" w:rsidP="00307E2E">
      <w:pPr>
        <w:spacing w:after="0" w:line="240" w:lineRule="auto"/>
      </w:pPr>
      <w:r>
        <w:separator/>
      </w:r>
    </w:p>
  </w:footnote>
  <w:footnote w:type="continuationSeparator" w:id="0">
    <w:p w:rsidR="00CF09C8" w:rsidRDefault="00CF09C8" w:rsidP="00307E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7E2E" w:rsidRDefault="00307E2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-883285</wp:posOffset>
          </wp:positionH>
          <wp:positionV relativeFrom="paragraph">
            <wp:posOffset>-367030</wp:posOffset>
          </wp:positionV>
          <wp:extent cx="7339965" cy="944279"/>
          <wp:effectExtent l="0" t="0" r="0" b="8255"/>
          <wp:wrapNone/>
          <wp:docPr id="2" name="Imagen 2" descr="Imagen que contiene captura de pantalla&#10;&#10;Descripción generada con confianza al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39965" cy="9442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6629D"/>
    <w:multiLevelType w:val="hybridMultilevel"/>
    <w:tmpl w:val="2984F4F4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D726B"/>
    <w:multiLevelType w:val="hybridMultilevel"/>
    <w:tmpl w:val="FBF2F5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3F699A"/>
    <w:multiLevelType w:val="hybridMultilevel"/>
    <w:tmpl w:val="85DA9D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A54A60"/>
    <w:multiLevelType w:val="hybridMultilevel"/>
    <w:tmpl w:val="0592F67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E2E"/>
    <w:rsid w:val="000119DA"/>
    <w:rsid w:val="000519B8"/>
    <w:rsid w:val="0005321E"/>
    <w:rsid w:val="00065720"/>
    <w:rsid w:val="000700C0"/>
    <w:rsid w:val="000916F8"/>
    <w:rsid w:val="000921A6"/>
    <w:rsid w:val="000B2658"/>
    <w:rsid w:val="000C3F23"/>
    <w:rsid w:val="000D0F4E"/>
    <w:rsid w:val="00124610"/>
    <w:rsid w:val="00124C39"/>
    <w:rsid w:val="00132B35"/>
    <w:rsid w:val="00145E3F"/>
    <w:rsid w:val="001543DE"/>
    <w:rsid w:val="00156CA0"/>
    <w:rsid w:val="00196893"/>
    <w:rsid w:val="001A162D"/>
    <w:rsid w:val="0020007F"/>
    <w:rsid w:val="00203C99"/>
    <w:rsid w:val="002068B5"/>
    <w:rsid w:val="002323EC"/>
    <w:rsid w:val="002A0713"/>
    <w:rsid w:val="002D7C81"/>
    <w:rsid w:val="002E7E39"/>
    <w:rsid w:val="002F688E"/>
    <w:rsid w:val="002F7DE2"/>
    <w:rsid w:val="003049F4"/>
    <w:rsid w:val="0030677C"/>
    <w:rsid w:val="00307E2E"/>
    <w:rsid w:val="0031332C"/>
    <w:rsid w:val="00330CA8"/>
    <w:rsid w:val="0034638F"/>
    <w:rsid w:val="003755FC"/>
    <w:rsid w:val="003863FA"/>
    <w:rsid w:val="003A0089"/>
    <w:rsid w:val="003A5F9D"/>
    <w:rsid w:val="003B4F01"/>
    <w:rsid w:val="003D3AE5"/>
    <w:rsid w:val="003E53F9"/>
    <w:rsid w:val="003F49D0"/>
    <w:rsid w:val="004034B8"/>
    <w:rsid w:val="004157F9"/>
    <w:rsid w:val="00434474"/>
    <w:rsid w:val="00462776"/>
    <w:rsid w:val="004636CF"/>
    <w:rsid w:val="004843CA"/>
    <w:rsid w:val="0049501A"/>
    <w:rsid w:val="004A1482"/>
    <w:rsid w:val="004A1FA2"/>
    <w:rsid w:val="004A2906"/>
    <w:rsid w:val="004C7736"/>
    <w:rsid w:val="004D2D7F"/>
    <w:rsid w:val="004E1E81"/>
    <w:rsid w:val="0050079B"/>
    <w:rsid w:val="00503C1F"/>
    <w:rsid w:val="00505E2C"/>
    <w:rsid w:val="00513854"/>
    <w:rsid w:val="005146AB"/>
    <w:rsid w:val="00536C98"/>
    <w:rsid w:val="005742C5"/>
    <w:rsid w:val="005A08DB"/>
    <w:rsid w:val="005E07B7"/>
    <w:rsid w:val="005E17D1"/>
    <w:rsid w:val="005E4379"/>
    <w:rsid w:val="005E60D1"/>
    <w:rsid w:val="006040E5"/>
    <w:rsid w:val="006828DA"/>
    <w:rsid w:val="0069550C"/>
    <w:rsid w:val="00697390"/>
    <w:rsid w:val="006B18CE"/>
    <w:rsid w:val="007224E4"/>
    <w:rsid w:val="007652E4"/>
    <w:rsid w:val="00780725"/>
    <w:rsid w:val="00782969"/>
    <w:rsid w:val="00782C85"/>
    <w:rsid w:val="007C1EC8"/>
    <w:rsid w:val="007E31F0"/>
    <w:rsid w:val="007F23AE"/>
    <w:rsid w:val="007F2EFF"/>
    <w:rsid w:val="00810568"/>
    <w:rsid w:val="008203AB"/>
    <w:rsid w:val="00851ECA"/>
    <w:rsid w:val="00873D99"/>
    <w:rsid w:val="00895F67"/>
    <w:rsid w:val="008A7AC4"/>
    <w:rsid w:val="008B022A"/>
    <w:rsid w:val="008B06A7"/>
    <w:rsid w:val="00927E8E"/>
    <w:rsid w:val="009355CE"/>
    <w:rsid w:val="00942D96"/>
    <w:rsid w:val="00952848"/>
    <w:rsid w:val="00975BA2"/>
    <w:rsid w:val="009B168E"/>
    <w:rsid w:val="009B2999"/>
    <w:rsid w:val="009E0010"/>
    <w:rsid w:val="009F2DD1"/>
    <w:rsid w:val="00A27467"/>
    <w:rsid w:val="00A56795"/>
    <w:rsid w:val="00A64116"/>
    <w:rsid w:val="00A75510"/>
    <w:rsid w:val="00A968E4"/>
    <w:rsid w:val="00AA2F03"/>
    <w:rsid w:val="00AA7A93"/>
    <w:rsid w:val="00AB2E8B"/>
    <w:rsid w:val="00AD2D50"/>
    <w:rsid w:val="00AD36AB"/>
    <w:rsid w:val="00AE3224"/>
    <w:rsid w:val="00AE3B03"/>
    <w:rsid w:val="00B06795"/>
    <w:rsid w:val="00B418E6"/>
    <w:rsid w:val="00B5749A"/>
    <w:rsid w:val="00B73920"/>
    <w:rsid w:val="00B95433"/>
    <w:rsid w:val="00BB15F3"/>
    <w:rsid w:val="00BC3F13"/>
    <w:rsid w:val="00BD0248"/>
    <w:rsid w:val="00BE04D1"/>
    <w:rsid w:val="00BF0095"/>
    <w:rsid w:val="00C07ADB"/>
    <w:rsid w:val="00C1785C"/>
    <w:rsid w:val="00C31639"/>
    <w:rsid w:val="00C338C0"/>
    <w:rsid w:val="00C45304"/>
    <w:rsid w:val="00C534AF"/>
    <w:rsid w:val="00C67052"/>
    <w:rsid w:val="00C731BE"/>
    <w:rsid w:val="00C75F44"/>
    <w:rsid w:val="00C82714"/>
    <w:rsid w:val="00CB4F8D"/>
    <w:rsid w:val="00CB5146"/>
    <w:rsid w:val="00CC55CB"/>
    <w:rsid w:val="00CF09C8"/>
    <w:rsid w:val="00D0514B"/>
    <w:rsid w:val="00D20858"/>
    <w:rsid w:val="00D22C81"/>
    <w:rsid w:val="00D45FAC"/>
    <w:rsid w:val="00D46139"/>
    <w:rsid w:val="00D462EA"/>
    <w:rsid w:val="00D671EC"/>
    <w:rsid w:val="00D82F8E"/>
    <w:rsid w:val="00DA2B7E"/>
    <w:rsid w:val="00DC52E5"/>
    <w:rsid w:val="00DE249D"/>
    <w:rsid w:val="00E05F91"/>
    <w:rsid w:val="00E54290"/>
    <w:rsid w:val="00E779BC"/>
    <w:rsid w:val="00E804AC"/>
    <w:rsid w:val="00E82942"/>
    <w:rsid w:val="00E830E1"/>
    <w:rsid w:val="00EA185C"/>
    <w:rsid w:val="00EB7C9C"/>
    <w:rsid w:val="00ED5267"/>
    <w:rsid w:val="00F036BE"/>
    <w:rsid w:val="00F2130E"/>
    <w:rsid w:val="00F53F47"/>
    <w:rsid w:val="00F95F17"/>
    <w:rsid w:val="00FC3C1B"/>
    <w:rsid w:val="00FE3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2F2034"/>
  <w15:chartTrackingRefBased/>
  <w15:docId w15:val="{CA068FBD-C693-4D9F-BBD8-9AB89767B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53F9"/>
  </w:style>
  <w:style w:type="paragraph" w:styleId="Ttulo1">
    <w:name w:val="heading 1"/>
    <w:basedOn w:val="Normal"/>
    <w:next w:val="Normal"/>
    <w:link w:val="Ttulo1Car"/>
    <w:uiPriority w:val="9"/>
    <w:qFormat/>
    <w:rsid w:val="00C338C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07E2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7E2E"/>
  </w:style>
  <w:style w:type="paragraph" w:styleId="Piedepgina">
    <w:name w:val="footer"/>
    <w:basedOn w:val="Normal"/>
    <w:link w:val="PiedepginaCar"/>
    <w:uiPriority w:val="99"/>
    <w:unhideWhenUsed/>
    <w:rsid w:val="00307E2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7E2E"/>
  </w:style>
  <w:style w:type="paragraph" w:styleId="Textodeglobo">
    <w:name w:val="Balloon Text"/>
    <w:basedOn w:val="Normal"/>
    <w:link w:val="TextodegloboCar"/>
    <w:uiPriority w:val="99"/>
    <w:semiHidden/>
    <w:unhideWhenUsed/>
    <w:rsid w:val="002000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007F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6B18C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05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51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51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0514B"/>
    <w:rPr>
      <w:vertAlign w:val="superscript"/>
    </w:rPr>
  </w:style>
  <w:style w:type="character" w:customStyle="1" w:styleId="texte-courant">
    <w:name w:val="texte-courant"/>
    <w:basedOn w:val="Fuentedeprrafopredeter"/>
    <w:rsid w:val="00D0514B"/>
  </w:style>
  <w:style w:type="character" w:customStyle="1" w:styleId="Ttulo1Car">
    <w:name w:val="Título 1 Car"/>
    <w:basedOn w:val="Fuentedeprrafopredeter"/>
    <w:link w:val="Ttulo1"/>
    <w:uiPriority w:val="9"/>
    <w:rsid w:val="00C338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aconcuadrcula">
    <w:name w:val="Table Grid"/>
    <w:basedOn w:val="Tablanormal"/>
    <w:uiPriority w:val="39"/>
    <w:rsid w:val="007F2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029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1613</Words>
  <Characters>8872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LOPEZ</dc:creator>
  <cp:keywords/>
  <dc:description/>
  <cp:lastModifiedBy>EDINSON CASTRO</cp:lastModifiedBy>
  <cp:revision>7</cp:revision>
  <cp:lastPrinted>2019-02-25T21:22:00Z</cp:lastPrinted>
  <dcterms:created xsi:type="dcterms:W3CDTF">2019-07-19T22:44:00Z</dcterms:created>
  <dcterms:modified xsi:type="dcterms:W3CDTF">2019-07-19T22:50:00Z</dcterms:modified>
</cp:coreProperties>
</file>