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E55A07" w:rsidRDefault="00222FBF" w:rsidP="00C5482E">
      <w:pPr>
        <w:rPr>
          <w:rFonts w:ascii="Arial" w:hAnsi="Arial" w:cs="Arial"/>
        </w:rPr>
      </w:pPr>
    </w:p>
    <w:p w:rsidR="00C5482E" w:rsidRPr="00E55A07" w:rsidRDefault="00C5482E" w:rsidP="00A6549F">
      <w:pPr>
        <w:spacing w:line="360" w:lineRule="auto"/>
        <w:jc w:val="center"/>
        <w:rPr>
          <w:rFonts w:ascii="Arial" w:eastAsia="Arial" w:hAnsi="Arial" w:cs="Arial"/>
          <w:b/>
        </w:rPr>
      </w:pPr>
      <w:r w:rsidRPr="00E55A07">
        <w:rPr>
          <w:rFonts w:ascii="Arial" w:eastAsia="Arial" w:hAnsi="Arial" w:cs="Arial"/>
          <w:b/>
        </w:rPr>
        <w:t xml:space="preserve">PROYECTO DE LEY No ____ </w:t>
      </w:r>
      <w:r w:rsidR="00A6549F" w:rsidRPr="00E55A07">
        <w:rPr>
          <w:rFonts w:ascii="Arial" w:eastAsia="Arial" w:hAnsi="Arial" w:cs="Arial"/>
          <w:b/>
        </w:rPr>
        <w:t xml:space="preserve">DE 2019 </w:t>
      </w:r>
      <w:r w:rsidRPr="00E55A07">
        <w:rPr>
          <w:rFonts w:ascii="Arial" w:eastAsia="Arial" w:hAnsi="Arial" w:cs="Arial"/>
          <w:b/>
        </w:rPr>
        <w:t>Cámara</w:t>
      </w:r>
    </w:p>
    <w:p w:rsidR="00B47AA4" w:rsidRPr="00E55A07" w:rsidRDefault="00B47AA4" w:rsidP="0033379B">
      <w:pPr>
        <w:jc w:val="center"/>
        <w:rPr>
          <w:rFonts w:ascii="Arial" w:eastAsia="Arial" w:hAnsi="Arial" w:cs="Arial"/>
        </w:rPr>
      </w:pPr>
      <w:r w:rsidRPr="00E55A07">
        <w:rPr>
          <w:rFonts w:ascii="Arial" w:eastAsia="Arial" w:hAnsi="Arial" w:cs="Arial"/>
        </w:rPr>
        <w:t>“Por medio del cual se dictan disposiciones en materia de instalación obligatoria de bebederos en espacio público”</w:t>
      </w:r>
    </w:p>
    <w:p w:rsidR="00C5482E" w:rsidRPr="00E55A07" w:rsidRDefault="00C5482E" w:rsidP="00A6549F">
      <w:pPr>
        <w:spacing w:line="360" w:lineRule="auto"/>
        <w:jc w:val="center"/>
        <w:rPr>
          <w:rFonts w:ascii="Arial" w:eastAsia="Arial" w:hAnsi="Arial" w:cs="Arial"/>
          <w:b/>
        </w:rPr>
      </w:pPr>
      <w:r w:rsidRPr="00E55A07">
        <w:rPr>
          <w:rFonts w:ascii="Arial" w:eastAsia="Arial" w:hAnsi="Arial" w:cs="Arial"/>
          <w:b/>
        </w:rPr>
        <w:t>El Congreso de la República de Colombia</w:t>
      </w:r>
    </w:p>
    <w:p w:rsidR="00E52429" w:rsidRPr="00E55A07" w:rsidRDefault="00C5482E" w:rsidP="00CF730F">
      <w:pPr>
        <w:spacing w:line="360" w:lineRule="auto"/>
        <w:jc w:val="center"/>
        <w:rPr>
          <w:rFonts w:ascii="Arial" w:eastAsia="Arial" w:hAnsi="Arial" w:cs="Arial"/>
          <w:b/>
        </w:rPr>
      </w:pPr>
      <w:r w:rsidRPr="00E55A07">
        <w:rPr>
          <w:rFonts w:ascii="Arial" w:eastAsia="Arial" w:hAnsi="Arial" w:cs="Arial"/>
          <w:b/>
        </w:rPr>
        <w:t>DECRETA:</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1°.- </w:t>
      </w:r>
      <w:r w:rsidRPr="0033379B">
        <w:rPr>
          <w:rFonts w:ascii="Arial" w:hAnsi="Arial" w:cs="Arial"/>
          <w:b/>
          <w:color w:val="000000"/>
          <w:lang w:val="es-ES_tradnl" w:eastAsia="es-ES"/>
        </w:rPr>
        <w:t>Objeto.</w:t>
      </w:r>
      <w:r w:rsidRPr="0033379B">
        <w:rPr>
          <w:rFonts w:ascii="Arial" w:hAnsi="Arial" w:cs="Arial"/>
          <w:color w:val="000000"/>
          <w:lang w:val="es-ES_tradnl" w:eastAsia="es-ES"/>
        </w:rPr>
        <w:t xml:space="preserve"> Dotar de bebederos de agua potable destinados al consumo por parte de la ciudadanía</w:t>
      </w:r>
      <w:r w:rsidR="00932933" w:rsidRPr="00E55A07">
        <w:rPr>
          <w:rFonts w:ascii="Arial" w:hAnsi="Arial" w:cs="Arial"/>
          <w:color w:val="000000"/>
          <w:lang w:val="es-ES_tradnl" w:eastAsia="es-ES"/>
        </w:rPr>
        <w:t xml:space="preserve"> en</w:t>
      </w:r>
      <w:r w:rsidRPr="0033379B">
        <w:rPr>
          <w:rFonts w:ascii="Arial" w:hAnsi="Arial" w:cs="Arial"/>
          <w:color w:val="000000"/>
          <w:lang w:val="es-ES_tradnl" w:eastAsia="es-ES"/>
        </w:rPr>
        <w:t xml:space="preserve"> el espacio público.</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2°.- </w:t>
      </w:r>
      <w:r w:rsidRPr="0033379B">
        <w:rPr>
          <w:rFonts w:ascii="Arial" w:hAnsi="Arial" w:cs="Arial"/>
          <w:b/>
          <w:color w:val="000000"/>
          <w:lang w:val="es-ES_tradnl" w:eastAsia="es-ES"/>
        </w:rPr>
        <w:t xml:space="preserve">Cantidad. </w:t>
      </w:r>
      <w:r w:rsidRPr="0033379B">
        <w:rPr>
          <w:rFonts w:ascii="Arial" w:hAnsi="Arial" w:cs="Arial"/>
          <w:color w:val="000000"/>
          <w:lang w:val="es-ES_tradnl" w:eastAsia="es-ES"/>
        </w:rPr>
        <w:t>La cantidad de bebederos se deberá determinar según la norma técnica pertinente, relativa a la población y la disponibilidad del recurso hídrico.</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3°.- </w:t>
      </w:r>
      <w:r w:rsidRPr="0033379B">
        <w:rPr>
          <w:rFonts w:ascii="Arial" w:hAnsi="Arial" w:cs="Arial"/>
          <w:b/>
          <w:color w:val="000000"/>
          <w:lang w:val="es-ES_tradnl" w:eastAsia="es-ES"/>
        </w:rPr>
        <w:t>Características*.</w:t>
      </w:r>
      <w:r w:rsidRPr="0033379B">
        <w:rPr>
          <w:rFonts w:ascii="Arial" w:hAnsi="Arial" w:cs="Arial"/>
          <w:color w:val="000000"/>
          <w:lang w:val="es-ES_tradnl" w:eastAsia="es-ES"/>
        </w:rPr>
        <w:t xml:space="preserve"> Los bebederos deben:</w:t>
      </w:r>
    </w:p>
    <w:p w:rsidR="0033379B" w:rsidRPr="0033379B" w:rsidRDefault="0033379B" w:rsidP="0033379B">
      <w:pPr>
        <w:numPr>
          <w:ilvl w:val="0"/>
          <w:numId w:val="19"/>
        </w:num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contar con un mecanismo adecuado que impida que viertan agua en forma constante;</w:t>
      </w:r>
    </w:p>
    <w:p w:rsidR="0033379B" w:rsidRPr="0033379B" w:rsidRDefault="0033379B" w:rsidP="0033379B">
      <w:pPr>
        <w:numPr>
          <w:ilvl w:val="0"/>
          <w:numId w:val="19"/>
        </w:num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mantenerse en perfectas condiciones de higiene y funcionamiento;</w:t>
      </w:r>
    </w:p>
    <w:p w:rsidR="0033379B" w:rsidRPr="0033379B" w:rsidRDefault="0033379B" w:rsidP="0033379B">
      <w:pPr>
        <w:numPr>
          <w:ilvl w:val="0"/>
          <w:numId w:val="19"/>
        </w:num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permitir su utilización sin que las manos deban entrar en contacto con el agua y sin que los labios deban tocar algún elemento de su estructura;</w:t>
      </w:r>
    </w:p>
    <w:p w:rsidR="0033379B" w:rsidRPr="0033379B" w:rsidRDefault="0033379B" w:rsidP="0033379B">
      <w:pPr>
        <w:numPr>
          <w:ilvl w:val="0"/>
          <w:numId w:val="19"/>
        </w:num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posibilitar su utilización a personas con discapacidad;</w:t>
      </w:r>
    </w:p>
    <w:p w:rsidR="0033379B" w:rsidRPr="0033379B" w:rsidRDefault="0033379B" w:rsidP="0033379B">
      <w:pPr>
        <w:numPr>
          <w:ilvl w:val="0"/>
          <w:numId w:val="19"/>
        </w:num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poseer una altura adecuada para su uso por parte de las personas de distintas edades. </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4°.- </w:t>
      </w:r>
      <w:r w:rsidRPr="0033379B">
        <w:rPr>
          <w:rFonts w:ascii="Arial" w:hAnsi="Arial" w:cs="Arial"/>
          <w:b/>
          <w:color w:val="000000"/>
          <w:lang w:val="es-ES_tradnl" w:eastAsia="es-ES"/>
        </w:rPr>
        <w:t>Ubicación.</w:t>
      </w:r>
      <w:r w:rsidRPr="0033379B">
        <w:rPr>
          <w:rFonts w:ascii="Arial" w:hAnsi="Arial" w:cs="Arial"/>
          <w:color w:val="000000"/>
          <w:lang w:val="es-ES_tradnl" w:eastAsia="es-ES"/>
        </w:rPr>
        <w:t xml:space="preserve"> Los bebederos deben ubicarse en espacios de uso común y, cuando fuera posible, alejados de los baños a fin de evitar la contaminación de los mismos.</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5°. - </w:t>
      </w:r>
      <w:r w:rsidRPr="0033379B">
        <w:rPr>
          <w:rFonts w:ascii="Arial" w:hAnsi="Arial" w:cs="Arial"/>
          <w:b/>
          <w:color w:val="000000"/>
          <w:lang w:val="es-ES_tradnl" w:eastAsia="es-ES"/>
        </w:rPr>
        <w:t>Autoridades responsables.</w:t>
      </w:r>
      <w:r w:rsidRPr="0033379B">
        <w:rPr>
          <w:rFonts w:ascii="Arial" w:hAnsi="Arial" w:cs="Arial"/>
          <w:color w:val="000000"/>
          <w:lang w:val="es-ES_tradnl" w:eastAsia="es-ES"/>
        </w:rPr>
        <w:t xml:space="preserve"> </w:t>
      </w:r>
      <w:r w:rsidR="00E55A07" w:rsidRPr="00E55A07">
        <w:rPr>
          <w:rFonts w:ascii="Arial" w:hAnsi="Arial" w:cs="Arial"/>
          <w:color w:val="000000"/>
          <w:lang w:val="es-ES_tradnl" w:eastAsia="es-ES"/>
        </w:rPr>
        <w:t>La</w:t>
      </w:r>
      <w:r w:rsidRPr="0033379B">
        <w:rPr>
          <w:rFonts w:ascii="Arial" w:hAnsi="Arial" w:cs="Arial"/>
          <w:color w:val="000000"/>
          <w:lang w:val="es-ES_tradnl" w:eastAsia="es-ES"/>
        </w:rPr>
        <w:t xml:space="preserve"> autoridad responsable de la supervisión de la correcta aplicación de la presente ley serán las secretarias de salud del orden departamental para los municipios de </w:t>
      </w:r>
      <w:r w:rsidR="00E55A07" w:rsidRPr="00E55A07">
        <w:rPr>
          <w:rFonts w:ascii="Arial" w:hAnsi="Arial" w:cs="Arial"/>
          <w:color w:val="000000"/>
          <w:lang w:val="es-ES_tradnl" w:eastAsia="es-ES"/>
        </w:rPr>
        <w:t>categorías</w:t>
      </w:r>
      <w:r w:rsidRPr="0033379B">
        <w:rPr>
          <w:rFonts w:ascii="Arial" w:hAnsi="Arial" w:cs="Arial"/>
          <w:color w:val="000000"/>
          <w:lang w:val="es-ES_tradnl" w:eastAsia="es-ES"/>
        </w:rPr>
        <w:t xml:space="preserve"> cuatro </w:t>
      </w:r>
      <w:r w:rsidR="00E55A07" w:rsidRPr="00E55A07">
        <w:rPr>
          <w:rFonts w:ascii="Arial" w:hAnsi="Arial" w:cs="Arial"/>
          <w:color w:val="000000"/>
          <w:lang w:val="es-ES_tradnl" w:eastAsia="es-ES"/>
        </w:rPr>
        <w:t>(4</w:t>
      </w:r>
      <w:r w:rsidRPr="0033379B">
        <w:rPr>
          <w:rFonts w:ascii="Arial" w:hAnsi="Arial" w:cs="Arial"/>
          <w:color w:val="000000"/>
          <w:lang w:val="es-ES_tradnl" w:eastAsia="es-ES"/>
        </w:rPr>
        <w:t>) cinco (</w:t>
      </w:r>
      <w:r w:rsidR="00E55A07" w:rsidRPr="00E55A07">
        <w:rPr>
          <w:rFonts w:ascii="Arial" w:hAnsi="Arial" w:cs="Arial"/>
          <w:color w:val="000000"/>
          <w:lang w:val="es-ES_tradnl" w:eastAsia="es-ES"/>
        </w:rPr>
        <w:t>5)</w:t>
      </w:r>
      <w:r w:rsidRPr="0033379B">
        <w:rPr>
          <w:rFonts w:ascii="Arial" w:hAnsi="Arial" w:cs="Arial"/>
          <w:color w:val="000000"/>
          <w:lang w:val="es-ES_tradnl" w:eastAsia="es-ES"/>
        </w:rPr>
        <w:t xml:space="preserve"> y se</w:t>
      </w:r>
      <w:r w:rsidRPr="0033379B">
        <w:rPr>
          <w:rFonts w:ascii="Arial" w:hAnsi="Arial" w:cs="Arial"/>
          <w:lang w:val="es-ES_tradnl" w:eastAsia="es-ES"/>
        </w:rPr>
        <w:t xml:space="preserve">is que implementen la presente ley, en los </w:t>
      </w:r>
      <w:r w:rsidR="00E55A07" w:rsidRPr="00E55A07">
        <w:rPr>
          <w:rFonts w:ascii="Arial" w:hAnsi="Arial" w:cs="Arial"/>
          <w:lang w:val="es-ES_tradnl" w:eastAsia="es-ES"/>
        </w:rPr>
        <w:t>demás</w:t>
      </w:r>
      <w:r w:rsidRPr="0033379B">
        <w:rPr>
          <w:rFonts w:ascii="Arial" w:hAnsi="Arial" w:cs="Arial"/>
          <w:lang w:val="es-ES_tradnl" w:eastAsia="es-ES"/>
        </w:rPr>
        <w:t xml:space="preserve"> </w:t>
      </w:r>
      <w:r w:rsidR="00E55A07" w:rsidRPr="00E55A07">
        <w:rPr>
          <w:rFonts w:ascii="Arial" w:hAnsi="Arial" w:cs="Arial"/>
          <w:lang w:val="es-ES_tradnl" w:eastAsia="es-ES"/>
        </w:rPr>
        <w:t>será</w:t>
      </w:r>
      <w:r w:rsidRPr="0033379B">
        <w:rPr>
          <w:rFonts w:ascii="Arial" w:hAnsi="Arial" w:cs="Arial"/>
          <w:lang w:val="es-ES_tradnl" w:eastAsia="es-ES"/>
        </w:rPr>
        <w:t xml:space="preserve"> supervisado por la respectiva secretaria</w:t>
      </w:r>
      <w:r w:rsidRPr="0033379B">
        <w:rPr>
          <w:rFonts w:ascii="Arial" w:hAnsi="Arial" w:cs="Arial"/>
          <w:color w:val="000000"/>
          <w:lang w:val="es-ES_tradnl" w:eastAsia="es-ES"/>
        </w:rPr>
        <w:t xml:space="preserve">. </w:t>
      </w:r>
    </w:p>
    <w:p w:rsidR="0033379B" w:rsidRPr="0033379B" w:rsidRDefault="0033379B" w:rsidP="0033379B">
      <w:pPr>
        <w:pBdr>
          <w:top w:val="nil"/>
          <w:left w:val="nil"/>
          <w:bottom w:val="nil"/>
          <w:right w:val="nil"/>
          <w:between w:val="nil"/>
        </w:pBdr>
        <w:spacing w:after="0" w:line="276" w:lineRule="auto"/>
        <w:jc w:val="both"/>
        <w:rPr>
          <w:rFonts w:ascii="Arial" w:hAnsi="Arial" w:cs="Arial"/>
          <w:lang w:val="es-ES_tradnl" w:eastAsia="es-ES"/>
        </w:rPr>
      </w:pPr>
    </w:p>
    <w:p w:rsidR="0033379B" w:rsidRPr="0033379B" w:rsidRDefault="00E55A07" w:rsidP="0033379B">
      <w:pPr>
        <w:pBdr>
          <w:top w:val="nil"/>
          <w:left w:val="nil"/>
          <w:bottom w:val="nil"/>
          <w:right w:val="nil"/>
          <w:between w:val="nil"/>
        </w:pBdr>
        <w:spacing w:after="0" w:line="276" w:lineRule="auto"/>
        <w:jc w:val="both"/>
        <w:rPr>
          <w:rFonts w:ascii="Arial" w:hAnsi="Arial" w:cs="Arial"/>
          <w:lang w:val="es-ES_tradnl" w:eastAsia="es-ES"/>
        </w:rPr>
      </w:pPr>
      <w:r w:rsidRPr="00E55A07">
        <w:rPr>
          <w:rFonts w:ascii="Arial" w:hAnsi="Arial" w:cs="Arial"/>
          <w:b/>
          <w:lang w:val="es-ES_tradnl" w:eastAsia="es-ES"/>
        </w:rPr>
        <w:t>Parágrafo</w:t>
      </w:r>
      <w:r w:rsidR="0033379B" w:rsidRPr="0033379B">
        <w:rPr>
          <w:rFonts w:ascii="Arial" w:hAnsi="Arial" w:cs="Arial"/>
          <w:b/>
          <w:lang w:val="es-ES_tradnl" w:eastAsia="es-ES"/>
        </w:rPr>
        <w:t xml:space="preserve">: </w:t>
      </w:r>
      <w:r w:rsidR="0033379B" w:rsidRPr="0033379B">
        <w:rPr>
          <w:rFonts w:ascii="Arial" w:hAnsi="Arial" w:cs="Arial"/>
          <w:lang w:val="es-ES_tradnl" w:eastAsia="es-ES"/>
        </w:rPr>
        <w:t xml:space="preserve">En aquellos municipios sujetos a </w:t>
      </w:r>
      <w:r w:rsidRPr="00E55A07">
        <w:rPr>
          <w:rFonts w:ascii="Arial" w:hAnsi="Arial" w:cs="Arial"/>
          <w:lang w:val="es-ES_tradnl" w:eastAsia="es-ES"/>
        </w:rPr>
        <w:t>supervisión</w:t>
      </w:r>
      <w:r w:rsidR="0033379B" w:rsidRPr="0033379B">
        <w:rPr>
          <w:rFonts w:ascii="Arial" w:hAnsi="Arial" w:cs="Arial"/>
          <w:lang w:val="es-ES_tradnl" w:eastAsia="es-ES"/>
        </w:rPr>
        <w:t xml:space="preserve"> por parte de la secretaria de salud de orden departamental, la gobernación podrá realizar </w:t>
      </w:r>
      <w:r w:rsidRPr="00E55A07">
        <w:rPr>
          <w:rFonts w:ascii="Arial" w:hAnsi="Arial" w:cs="Arial"/>
          <w:lang w:val="es-ES_tradnl" w:eastAsia="es-ES"/>
        </w:rPr>
        <w:t>inversión</w:t>
      </w:r>
      <w:r w:rsidR="0033379B" w:rsidRPr="0033379B">
        <w:rPr>
          <w:rFonts w:ascii="Arial" w:hAnsi="Arial" w:cs="Arial"/>
          <w:lang w:val="es-ES_tradnl" w:eastAsia="es-ES"/>
        </w:rPr>
        <w:t xml:space="preserve"> directa en la </w:t>
      </w:r>
      <w:r w:rsidRPr="00E55A07">
        <w:rPr>
          <w:rFonts w:ascii="Arial" w:hAnsi="Arial" w:cs="Arial"/>
          <w:lang w:val="es-ES_tradnl" w:eastAsia="es-ES"/>
        </w:rPr>
        <w:t>instalación</w:t>
      </w:r>
      <w:r w:rsidR="0033379B" w:rsidRPr="0033379B">
        <w:rPr>
          <w:rFonts w:ascii="Arial" w:hAnsi="Arial" w:cs="Arial"/>
          <w:lang w:val="es-ES_tradnl" w:eastAsia="es-ES"/>
        </w:rPr>
        <w:t xml:space="preserve"> de bebedero de conformidad con las reglas previstas en la presente ley.</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6°.- </w:t>
      </w:r>
      <w:r w:rsidRPr="0033379B">
        <w:rPr>
          <w:rFonts w:ascii="Arial" w:hAnsi="Arial" w:cs="Arial"/>
          <w:b/>
          <w:color w:val="000000"/>
          <w:lang w:val="es-ES_tradnl" w:eastAsia="es-ES"/>
        </w:rPr>
        <w:t>Obligaciones</w:t>
      </w:r>
      <w:r w:rsidRPr="0033379B">
        <w:rPr>
          <w:rFonts w:ascii="Arial" w:hAnsi="Arial" w:cs="Arial"/>
          <w:color w:val="000000"/>
          <w:lang w:val="es-ES_tradnl" w:eastAsia="es-ES"/>
        </w:rPr>
        <w:t>. La obligación de instalar, acondicionar y mantener en buen funcionamiento a los bebederos en los establecimientos de gestión estatal recae sobre el las secretarias de infraestructura o quien haga sus veces, en coordinación con la secretaria de salud.</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bookmarkStart w:id="0" w:name="_GoBack"/>
      <w:bookmarkEnd w:id="0"/>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lastRenderedPageBreak/>
        <w:t xml:space="preserve">Artículo 7°.- </w:t>
      </w:r>
      <w:r w:rsidRPr="0033379B">
        <w:rPr>
          <w:rFonts w:ascii="Arial" w:hAnsi="Arial" w:cs="Arial"/>
          <w:b/>
          <w:color w:val="000000"/>
          <w:lang w:val="es-ES_tradnl" w:eastAsia="es-ES"/>
        </w:rPr>
        <w:t xml:space="preserve">Plazo. </w:t>
      </w:r>
      <w:r w:rsidRPr="0033379B">
        <w:rPr>
          <w:rFonts w:ascii="Arial" w:hAnsi="Arial" w:cs="Arial"/>
          <w:color w:val="000000"/>
          <w:lang w:val="es-ES_tradnl" w:eastAsia="es-ES"/>
        </w:rPr>
        <w:t xml:space="preserve">Los bebederos deben estar instalados en el transcurso de dos (2) años contados desde el momento de la promulgación de la presente ley de acuerdo a las condiciones presupuestarias previstas en el </w:t>
      </w:r>
      <w:r w:rsidRPr="00E55A07">
        <w:rPr>
          <w:rFonts w:ascii="Arial" w:hAnsi="Arial" w:cs="Arial"/>
          <w:color w:val="000000"/>
          <w:lang w:val="es-ES_tradnl" w:eastAsia="es-ES"/>
        </w:rPr>
        <w:t>artícu</w:t>
      </w:r>
      <w:r w:rsidRPr="00E55A07">
        <w:rPr>
          <w:rFonts w:ascii="Arial" w:hAnsi="Arial" w:cs="Arial"/>
          <w:lang w:val="es-ES_tradnl" w:eastAsia="es-ES"/>
        </w:rPr>
        <w:t>lo</w:t>
      </w:r>
      <w:r w:rsidRPr="0033379B">
        <w:rPr>
          <w:rFonts w:ascii="Arial" w:hAnsi="Arial" w:cs="Arial"/>
          <w:lang w:val="es-ES_tradnl" w:eastAsia="es-ES"/>
        </w:rPr>
        <w:t xml:space="preserve"> 8 de la presente ley</w:t>
      </w:r>
      <w:r w:rsidRPr="0033379B">
        <w:rPr>
          <w:rFonts w:ascii="Arial" w:hAnsi="Arial" w:cs="Arial"/>
          <w:color w:val="000000"/>
          <w:lang w:val="es-ES_tradnl" w:eastAsia="es-ES"/>
        </w:rPr>
        <w:t>.</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8°.- </w:t>
      </w:r>
      <w:r w:rsidRPr="0033379B">
        <w:rPr>
          <w:rFonts w:ascii="Arial" w:hAnsi="Arial" w:cs="Arial"/>
          <w:b/>
          <w:color w:val="000000"/>
          <w:lang w:val="es-ES_tradnl" w:eastAsia="es-ES"/>
        </w:rPr>
        <w:t>Partidas presupuestarias.</w:t>
      </w:r>
      <w:r w:rsidRPr="0033379B">
        <w:rPr>
          <w:rFonts w:ascii="Arial" w:hAnsi="Arial" w:cs="Arial"/>
          <w:color w:val="000000"/>
          <w:lang w:val="es-ES_tradnl" w:eastAsia="es-ES"/>
        </w:rPr>
        <w:t xml:space="preserve"> La instalación de la infraestructura necesaria podrá emplear recursos de transferencias por agua y saneamiento básico siempre que se haya satisfecho la cobertura en materia de acceso al agua potable para la población vulnerable de la entidad territorial.</w:t>
      </w:r>
    </w:p>
    <w:p w:rsidR="0033379B" w:rsidRPr="0033379B" w:rsidRDefault="0033379B" w:rsidP="0033379B">
      <w:pPr>
        <w:spacing w:after="0" w:line="276" w:lineRule="auto"/>
        <w:jc w:val="both"/>
        <w:rPr>
          <w:rFonts w:ascii="Arial" w:hAnsi="Arial" w:cs="Arial"/>
          <w:lang w:val="es-ES_tradnl" w:eastAsia="es-ES"/>
        </w:rPr>
      </w:pPr>
    </w:p>
    <w:p w:rsidR="0033379B" w:rsidRPr="0033379B" w:rsidRDefault="0033379B" w:rsidP="0033379B">
      <w:pPr>
        <w:spacing w:after="0" w:line="276" w:lineRule="auto"/>
        <w:jc w:val="both"/>
        <w:rPr>
          <w:rFonts w:ascii="Arial" w:hAnsi="Arial" w:cs="Arial"/>
          <w:lang w:val="es-ES_tradnl" w:eastAsia="es-ES"/>
        </w:rPr>
      </w:pPr>
      <w:r w:rsidRPr="0033379B">
        <w:rPr>
          <w:rFonts w:ascii="Arial" w:hAnsi="Arial" w:cs="Arial"/>
          <w:lang w:val="es-ES_tradnl" w:eastAsia="es-ES"/>
        </w:rPr>
        <w:t xml:space="preserve">Artículo 9°: las disposiciones previstas en la presente ley rigen de forma obligatoria para aquellos municipios o distritos de </w:t>
      </w:r>
      <w:r w:rsidR="00E55A07" w:rsidRPr="00E55A07">
        <w:rPr>
          <w:rFonts w:ascii="Arial" w:hAnsi="Arial" w:cs="Arial"/>
          <w:lang w:val="es-ES_tradnl" w:eastAsia="es-ES"/>
        </w:rPr>
        <w:t>categoría</w:t>
      </w:r>
      <w:r w:rsidRPr="0033379B">
        <w:rPr>
          <w:rFonts w:ascii="Arial" w:hAnsi="Arial" w:cs="Arial"/>
          <w:lang w:val="es-ES_tradnl" w:eastAsia="es-ES"/>
        </w:rPr>
        <w:t xml:space="preserve"> uno, dos y tres, o especial equivalente. Para los </w:t>
      </w:r>
      <w:r w:rsidR="00E55A07" w:rsidRPr="00E55A07">
        <w:rPr>
          <w:rFonts w:ascii="Arial" w:hAnsi="Arial" w:cs="Arial"/>
          <w:lang w:val="es-ES_tradnl" w:eastAsia="es-ES"/>
        </w:rPr>
        <w:t>demás</w:t>
      </w:r>
      <w:r w:rsidRPr="0033379B">
        <w:rPr>
          <w:rFonts w:ascii="Arial" w:hAnsi="Arial" w:cs="Arial"/>
          <w:lang w:val="es-ES_tradnl" w:eastAsia="es-ES"/>
        </w:rPr>
        <w:t xml:space="preserve"> municipios la adopción de las disposiciones contenidas en el presente proyecto de ley </w:t>
      </w:r>
      <w:r w:rsidR="00E55A07" w:rsidRPr="00E55A07">
        <w:rPr>
          <w:rFonts w:ascii="Arial" w:hAnsi="Arial" w:cs="Arial"/>
          <w:lang w:val="es-ES_tradnl" w:eastAsia="es-ES"/>
        </w:rPr>
        <w:t>será</w:t>
      </w:r>
      <w:r w:rsidRPr="0033379B">
        <w:rPr>
          <w:rFonts w:ascii="Arial" w:hAnsi="Arial" w:cs="Arial"/>
          <w:lang w:val="es-ES_tradnl" w:eastAsia="es-ES"/>
        </w:rPr>
        <w:t xml:space="preserve"> optativa. </w:t>
      </w:r>
    </w:p>
    <w:p w:rsidR="0033379B" w:rsidRPr="0033379B" w:rsidRDefault="0033379B" w:rsidP="0033379B">
      <w:pPr>
        <w:spacing w:after="0" w:line="276" w:lineRule="auto"/>
        <w:jc w:val="both"/>
        <w:rPr>
          <w:rFonts w:ascii="Arial" w:hAnsi="Arial" w:cs="Arial"/>
          <w:lang w:val="es-ES_tradnl" w:eastAsia="es-ES"/>
        </w:rPr>
      </w:pP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r w:rsidRPr="0033379B">
        <w:rPr>
          <w:rFonts w:ascii="Arial" w:hAnsi="Arial" w:cs="Arial"/>
          <w:color w:val="000000"/>
          <w:lang w:val="es-ES_tradnl" w:eastAsia="es-ES"/>
        </w:rPr>
        <w:t xml:space="preserve">Artículo </w:t>
      </w:r>
      <w:r w:rsidRPr="0033379B">
        <w:rPr>
          <w:rFonts w:ascii="Arial" w:hAnsi="Arial" w:cs="Arial"/>
          <w:lang w:val="es-ES_tradnl" w:eastAsia="es-ES"/>
        </w:rPr>
        <w:t>10</w:t>
      </w:r>
      <w:r w:rsidRPr="0033379B">
        <w:rPr>
          <w:rFonts w:ascii="Arial" w:hAnsi="Arial" w:cs="Arial"/>
          <w:color w:val="000000"/>
          <w:lang w:val="es-ES_tradnl" w:eastAsia="es-ES"/>
        </w:rPr>
        <w:t xml:space="preserve">°.- </w:t>
      </w:r>
      <w:r w:rsidRPr="0033379B">
        <w:rPr>
          <w:rFonts w:ascii="Arial" w:hAnsi="Arial" w:cs="Arial"/>
          <w:b/>
          <w:color w:val="000000"/>
          <w:lang w:val="es-ES_tradnl" w:eastAsia="es-ES"/>
        </w:rPr>
        <w:t xml:space="preserve">Vigencias y derogatorias: </w:t>
      </w:r>
      <w:r w:rsidRPr="0033379B">
        <w:rPr>
          <w:rFonts w:ascii="Arial" w:hAnsi="Arial" w:cs="Arial"/>
          <w:color w:val="000000"/>
          <w:lang w:val="es-ES_tradnl" w:eastAsia="es-ES"/>
        </w:rPr>
        <w:t>la presente ley rige a partir de su publicación y deroga las disposiciones que le sean contrarias.</w:t>
      </w:r>
    </w:p>
    <w:p w:rsidR="0033379B" w:rsidRPr="0033379B" w:rsidRDefault="0033379B" w:rsidP="0033379B">
      <w:pPr>
        <w:pBdr>
          <w:top w:val="nil"/>
          <w:left w:val="nil"/>
          <w:bottom w:val="nil"/>
          <w:right w:val="nil"/>
          <w:between w:val="nil"/>
        </w:pBdr>
        <w:spacing w:after="0" w:line="276" w:lineRule="auto"/>
        <w:jc w:val="both"/>
        <w:rPr>
          <w:rFonts w:ascii="Arial" w:hAnsi="Arial" w:cs="Arial"/>
          <w:color w:val="000000"/>
          <w:lang w:val="es-ES_tradnl" w:eastAsia="es-ES"/>
        </w:rPr>
      </w:pPr>
    </w:p>
    <w:p w:rsidR="00E52429" w:rsidRPr="00E55A07" w:rsidRDefault="00E52429" w:rsidP="00E52429">
      <w:pPr>
        <w:spacing w:line="360" w:lineRule="auto"/>
        <w:jc w:val="both"/>
        <w:rPr>
          <w:rFonts w:ascii="Arial" w:hAnsi="Arial" w:cs="Arial"/>
          <w:b/>
          <w:lang w:val="es-ES_tradnl" w:eastAsia="en-US"/>
        </w:rPr>
      </w:pPr>
    </w:p>
    <w:p w:rsidR="00401C54" w:rsidRPr="00E55A07" w:rsidRDefault="00401C54" w:rsidP="003436C2">
      <w:pPr>
        <w:spacing w:after="0"/>
        <w:rPr>
          <w:rFonts w:ascii="Arial" w:eastAsia="Arial" w:hAnsi="Arial" w:cs="Arial"/>
          <w:b/>
        </w:rPr>
      </w:pPr>
    </w:p>
    <w:p w:rsidR="00401C54" w:rsidRPr="00E55A07" w:rsidRDefault="00401C54" w:rsidP="003436C2">
      <w:pPr>
        <w:spacing w:after="0"/>
        <w:rPr>
          <w:rFonts w:ascii="Arial" w:eastAsiaTheme="minorHAnsi" w:hAnsi="Arial" w:cs="Arial"/>
          <w:b/>
          <w:color w:val="000000"/>
          <w:lang w:eastAsia="en-US"/>
        </w:rPr>
      </w:pPr>
    </w:p>
    <w:p w:rsidR="00401C54" w:rsidRPr="00E55A07" w:rsidRDefault="00401C54" w:rsidP="003436C2">
      <w:pPr>
        <w:spacing w:after="0"/>
        <w:rPr>
          <w:rFonts w:ascii="Arial" w:eastAsiaTheme="minorHAnsi" w:hAnsi="Arial" w:cs="Arial"/>
          <w:b/>
          <w:color w:val="000000"/>
          <w:lang w:eastAsia="en-US"/>
        </w:rPr>
      </w:pPr>
    </w:p>
    <w:p w:rsidR="00401C54" w:rsidRPr="00E55A07" w:rsidRDefault="00401C54" w:rsidP="003436C2">
      <w:pPr>
        <w:spacing w:after="0"/>
        <w:rPr>
          <w:rFonts w:ascii="Arial" w:eastAsiaTheme="minorHAnsi" w:hAnsi="Arial" w:cs="Arial"/>
          <w:b/>
          <w:color w:val="000000"/>
          <w:lang w:eastAsia="en-US"/>
        </w:rPr>
      </w:pPr>
    </w:p>
    <w:p w:rsidR="00401C54" w:rsidRPr="00E55A07" w:rsidRDefault="00401C54" w:rsidP="003436C2">
      <w:pPr>
        <w:spacing w:after="0"/>
        <w:rPr>
          <w:rFonts w:ascii="Arial" w:eastAsiaTheme="minorHAnsi" w:hAnsi="Arial" w:cs="Arial"/>
          <w:b/>
          <w:color w:val="000000"/>
          <w:lang w:eastAsia="en-US"/>
        </w:rPr>
      </w:pPr>
    </w:p>
    <w:p w:rsidR="003436C2" w:rsidRPr="00E55A07" w:rsidRDefault="003436C2" w:rsidP="003436C2">
      <w:pPr>
        <w:spacing w:after="0"/>
        <w:rPr>
          <w:rFonts w:ascii="Arial" w:eastAsiaTheme="minorHAnsi" w:hAnsi="Arial" w:cs="Arial"/>
          <w:b/>
          <w:color w:val="000000"/>
          <w:lang w:eastAsia="en-US"/>
        </w:rPr>
      </w:pPr>
      <w:r w:rsidRPr="00E55A07">
        <w:rPr>
          <w:rFonts w:ascii="Arial" w:eastAsiaTheme="minorHAnsi" w:hAnsi="Arial" w:cs="Arial"/>
          <w:b/>
          <w:color w:val="000000"/>
          <w:lang w:eastAsia="en-US"/>
        </w:rPr>
        <w:t>FABIÁN DÍAZ PLATA</w:t>
      </w:r>
    </w:p>
    <w:p w:rsidR="003436C2" w:rsidRPr="00E55A07" w:rsidRDefault="003436C2" w:rsidP="003436C2">
      <w:pPr>
        <w:spacing w:after="0"/>
        <w:rPr>
          <w:rFonts w:ascii="Arial" w:eastAsiaTheme="minorHAnsi" w:hAnsi="Arial" w:cs="Arial"/>
          <w:color w:val="000000"/>
          <w:lang w:eastAsia="en-US"/>
        </w:rPr>
      </w:pPr>
      <w:r w:rsidRPr="00E55A07">
        <w:rPr>
          <w:rFonts w:ascii="Arial" w:eastAsiaTheme="minorHAnsi" w:hAnsi="Arial" w:cs="Arial"/>
          <w:color w:val="000000"/>
          <w:lang w:eastAsia="en-US"/>
        </w:rPr>
        <w:t>Representante a la Cámara</w:t>
      </w:r>
    </w:p>
    <w:p w:rsidR="00C5482E" w:rsidRPr="00E55A07" w:rsidRDefault="003436C2" w:rsidP="003436C2">
      <w:pPr>
        <w:rPr>
          <w:rFonts w:ascii="Arial" w:eastAsia="Arial" w:hAnsi="Arial" w:cs="Arial"/>
          <w:b/>
        </w:rPr>
      </w:pPr>
      <w:r w:rsidRPr="00E55A07">
        <w:rPr>
          <w:rFonts w:ascii="Arial" w:eastAsiaTheme="minorHAnsi" w:hAnsi="Arial" w:cs="Arial"/>
          <w:color w:val="000000"/>
          <w:lang w:eastAsia="en-US"/>
        </w:rPr>
        <w:t>Departamento de Santander</w:t>
      </w:r>
      <w:r w:rsidRPr="00E55A07">
        <w:rPr>
          <w:rFonts w:ascii="Arial" w:eastAsia="Arial" w:hAnsi="Arial" w:cs="Arial"/>
          <w:b/>
        </w:rPr>
        <w:t xml:space="preserve"> </w:t>
      </w:r>
      <w:r w:rsidR="00C5482E" w:rsidRPr="00E55A07">
        <w:rPr>
          <w:rFonts w:ascii="Arial" w:eastAsia="Arial" w:hAnsi="Arial" w:cs="Arial"/>
          <w:b/>
        </w:rPr>
        <w:br w:type="page"/>
      </w:r>
    </w:p>
    <w:p w:rsidR="00C5482E" w:rsidRPr="00E55A07" w:rsidRDefault="00C5482E" w:rsidP="00C5482E">
      <w:pPr>
        <w:spacing w:line="360" w:lineRule="auto"/>
        <w:jc w:val="both"/>
        <w:rPr>
          <w:rFonts w:ascii="Arial" w:eastAsia="Arial" w:hAnsi="Arial" w:cs="Arial"/>
          <w:b/>
        </w:rPr>
      </w:pPr>
    </w:p>
    <w:p w:rsidR="00A003BC" w:rsidRPr="00E55A07" w:rsidRDefault="00A003BC" w:rsidP="00A003BC">
      <w:pPr>
        <w:spacing w:line="360" w:lineRule="auto"/>
        <w:jc w:val="center"/>
        <w:rPr>
          <w:rFonts w:ascii="Arial" w:eastAsia="Arial" w:hAnsi="Arial" w:cs="Arial"/>
          <w:b/>
        </w:rPr>
      </w:pPr>
      <w:r w:rsidRPr="00E55A07">
        <w:rPr>
          <w:rFonts w:ascii="Arial" w:eastAsia="Arial" w:hAnsi="Arial" w:cs="Arial"/>
          <w:b/>
        </w:rPr>
        <w:t>EXPOSICIÓN DE MOTIVOS</w:t>
      </w:r>
    </w:p>
    <w:p w:rsidR="00E55A07" w:rsidRPr="00E55A07" w:rsidRDefault="00E55A07" w:rsidP="00E55A07">
      <w:pPr>
        <w:spacing w:line="360" w:lineRule="auto"/>
        <w:jc w:val="center"/>
        <w:rPr>
          <w:rFonts w:ascii="Arial" w:eastAsia="Arial" w:hAnsi="Arial" w:cs="Arial"/>
          <w:b/>
        </w:rPr>
      </w:pPr>
      <w:r w:rsidRPr="00E55A07">
        <w:rPr>
          <w:rFonts w:ascii="Arial" w:eastAsia="Arial" w:hAnsi="Arial" w:cs="Arial"/>
          <w:b/>
        </w:rPr>
        <w:t>PROYECTO DE LEY No ____ DE 2019 Cámara</w:t>
      </w:r>
    </w:p>
    <w:p w:rsidR="00E55A07" w:rsidRPr="00E55A07" w:rsidRDefault="00E55A07" w:rsidP="00E55A07">
      <w:pPr>
        <w:jc w:val="center"/>
        <w:rPr>
          <w:rFonts w:ascii="Arial" w:eastAsia="Arial" w:hAnsi="Arial" w:cs="Arial"/>
        </w:rPr>
      </w:pPr>
      <w:r w:rsidRPr="00E55A07">
        <w:rPr>
          <w:rFonts w:ascii="Arial" w:eastAsia="Arial" w:hAnsi="Arial" w:cs="Arial"/>
        </w:rPr>
        <w:t>“Por medio del cual se dictan disposiciones en materia de instalación obligatoria de bebederos en espacio público”</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t xml:space="preserve">CONSTITUCION </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t>El</w:t>
      </w:r>
      <w:r w:rsidRPr="00E55A07">
        <w:rPr>
          <w:rFonts w:ascii="Arial" w:hAnsi="Arial" w:cs="Arial"/>
          <w:color w:val="000000"/>
          <w:lang w:val="es-ES_tradnl" w:eastAsia="es-ES"/>
        </w:rPr>
        <w:t xml:space="preserve"> derecho fundamental al agua se vincula con una serie de requerimientos materiales mínimos para la existencia digna de una persona, a esto lo ha denominado la corte constitucional mínimo vital. Bajo esta idea se han estimado las proporciones máximas de restricción de la dimensión prestacional de algunos derechos, dicho de otra manera, el tope de las limitaciones que puede imponerse a una persona sobre el acceso a determinado bien indispensable para la vida digna, en el caso del agua ha estimado la corte que bajo cualquier circunstancia se debe garantizar por lo menos 50 litros de agua por persona al día (T740 2011).</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t>Las obligaciones a cargo del Estado en materia de servicios públicos surgen del artículo 365 de la Constitución cuando señala que son inherentes a la finalidad social del Estado y debe este asegurar su prestación eficiente a todos los habitantes del territorio nacional. Igualmente, por mandato del artículo 366 de la Carta Política, el bienestar general y el mejoramiento de la calidad de vida de la población son finalidades del Estado siendo objetivo fundamental de su actividad la solución de las necesidades insatisfechas, entre otras, las de saneamiento y agua potable.</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t>La jurisprudencia constitucional ha reconocido que el derecho fundamental al agua se encuentra ligado al principio de dignidad humana, pues éste constituye un elemento para tener unas condiciones materiales de existencia adecuadas (vivir bien). Ha dicho también la Corporación que el suministro permanente e ininterrumpido de agua es el medio para hacer efectiva esa garantía constitucional. (</w:t>
      </w:r>
      <w:r w:rsidRPr="00E55A07">
        <w:rPr>
          <w:rFonts w:ascii="Arial" w:hAnsi="Arial" w:cs="Arial"/>
          <w:lang w:val="es-ES_tradnl" w:eastAsia="es-ES"/>
        </w:rPr>
        <w:t>T</w:t>
      </w:r>
      <w:r w:rsidRPr="00E55A07">
        <w:rPr>
          <w:rFonts w:ascii="Arial" w:hAnsi="Arial" w:cs="Arial"/>
          <w:color w:val="000000"/>
          <w:lang w:val="es-ES_tradnl" w:eastAsia="es-ES"/>
        </w:rPr>
        <w:t xml:space="preserve"> 103 de 2016)</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2D2D2D"/>
          <w:highlight w:val="white"/>
          <w:lang w:val="es-ES_tradnl" w:eastAsia="es-ES"/>
        </w:rPr>
        <w:t>la Corte ha considerado que la administración municipal es responsable de garantizar el abastecimiento continuo y permanente del servicio de agua, si la prestación del mismo es directa, pero también en aquellas ocasiones en las cuales se contrata a un tercero para encargarse del suministro, o cuando por circunstancias geográficas las comunidades constituyen acueductos comunitarios o veredales destinados específicamente a la satisfacción de un grupo de personas que no tienen acceso a los acueductos instalados para abastecer un municipio.(</w:t>
      </w:r>
      <w:r w:rsidRPr="00E55A07">
        <w:rPr>
          <w:rFonts w:ascii="Arial" w:hAnsi="Arial" w:cs="Arial"/>
          <w:color w:val="000000"/>
          <w:lang w:val="es-ES_tradnl" w:eastAsia="es-ES"/>
        </w:rPr>
        <w:t xml:space="preserve"> t 103 de 2016)</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t xml:space="preserve">LEGISLACION </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El</w:t>
      </w:r>
      <w:r w:rsidRPr="00E55A07">
        <w:rPr>
          <w:rFonts w:ascii="Arial" w:hAnsi="Arial" w:cs="Arial"/>
          <w:color w:val="2D2D2D"/>
          <w:highlight w:val="white"/>
          <w:lang w:val="es-ES_tradnl" w:eastAsia="es-ES"/>
        </w:rPr>
        <w:t xml:space="preserve"> artículo 76 de la Ley 715 de 2001, estableció dentro de las competencias de los municipios “</w:t>
      </w:r>
      <w:r w:rsidRPr="00E55A07">
        <w:rPr>
          <w:rFonts w:ascii="Arial" w:hAnsi="Arial" w:cs="Arial"/>
          <w:i/>
          <w:color w:val="2D2D2D"/>
          <w:lang w:val="es-ES_tradnl" w:eastAsia="es-ES"/>
        </w:rPr>
        <w:t xml:space="preserve">directa o indirectamente, con recursos propios, del Sistema General de </w:t>
      </w:r>
      <w:r w:rsidRPr="00E55A07">
        <w:rPr>
          <w:rFonts w:ascii="Arial" w:hAnsi="Arial" w:cs="Arial"/>
          <w:i/>
          <w:color w:val="2D2D2D"/>
          <w:lang w:val="es-ES_tradnl" w:eastAsia="es-ES"/>
        </w:rPr>
        <w:lastRenderedPageBreak/>
        <w:t>Participaciones u otros recursos, promover, financiar o cofinanciar proyectos de interés municipal y en especial ejercer las siguientes competencias (…) 76.1. Servicios Públicos</w:t>
      </w:r>
      <w:r w:rsidRPr="00E55A07">
        <w:rPr>
          <w:rFonts w:ascii="Arial" w:hAnsi="Arial" w:cs="Arial"/>
          <w:b/>
          <w:i/>
          <w:color w:val="2D2D2D"/>
          <w:lang w:val="es-ES_tradnl" w:eastAsia="es-ES"/>
        </w:rPr>
        <w:t>. </w:t>
      </w:r>
      <w:r w:rsidRPr="00E55A07">
        <w:rPr>
          <w:rFonts w:ascii="Arial" w:hAnsi="Arial" w:cs="Arial"/>
          <w:i/>
          <w:color w:val="2D2D2D"/>
          <w:lang w:val="es-ES_tradnl" w:eastAsia="es-ES"/>
        </w:rPr>
        <w:t>Realizar directamente o a través de terceros en materia de servicios públicos además de las competencias establecidas en otras normas vigentes la construcción, ampliación rehabilitación y mejoramiento de la infraestructura de servicios públicos</w:t>
      </w:r>
      <w:r w:rsidRPr="00E55A07">
        <w:rPr>
          <w:rFonts w:ascii="Arial" w:hAnsi="Arial" w:cs="Arial"/>
          <w:color w:val="2D2D2D"/>
          <w:highlight w:val="white"/>
          <w:lang w:val="es-ES_tradnl" w:eastAsia="es-ES"/>
        </w:rPr>
        <w:t>”.</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ACUERDOS INTERNACIONALES</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333333"/>
          <w:highlight w:val="white"/>
          <w:lang w:val="es-ES_tradnl" w:eastAsia="es-ES"/>
        </w:rPr>
      </w:pPr>
      <w:r w:rsidRPr="00E55A07">
        <w:rPr>
          <w:rFonts w:ascii="Arial" w:hAnsi="Arial" w:cs="Arial"/>
          <w:color w:val="333333"/>
          <w:highlight w:val="white"/>
          <w:lang w:val="es-ES_tradnl" w:eastAsia="es-ES"/>
        </w:rPr>
        <w:t>La integridad en la gobernanza en el sector del agua es condición indispensable para alcanzar los Objetivos de Desarrollo Sostenible (ODS); no solo los objetivos en materia de agua, sino también los que apuntan a poner fin al hambre, a promover la agricultura sostenible, a lograr la igualdad de género y a generar fuentes de energía sostenible confiables. La integridad es esencial para proteger el medio ambiente y los ecosistemas y para construir ciudades seguras y sostenibles.</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Entre los Objetivos de Desarrollo Sostenible (ODS), el objetivo 6 —garantizar la disponibilidad de agua y saneamiento para todos— va más allá del agua potable y el saneamiento, y abarca la higiene, la gestión de las cuencas fluviales con especial énfasis en la gestión integrada de los recursos hídricos, y las preocupaciones ambientales.</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En la meta 6.2 se menciona explícitamente la necesidad de las mujeres y las niñas de saneamiento e higiene adecuados y en condiciones de igualdad.</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“El agua se considera como un derecho fundamental y, se define, de acuerdo con lo establecido por el Comité de Derechos Económicos, Sociales y Culturales, como “el derecho de todos de disponer de agua suficiente, salubre, aceptable, accesible y asequible para el uso personal o doméstico”. El agua se erige como una necesidad básica, al ser un elemento indisoluble para la existencia del ser humano. El agua en el ordenamiento jurídico colombiano tiene una doble connotación pues se erige como un derecho fundamental y como un servicio público. En tal sentido, todas las personas deben poder acceder al servicio de acueducto en condiciones de cantidad y calidad suficiente y al Estado le corresponde organizar, dirigir, reglamentar y garantizar su prestación de conformidad con los principios de eficiencia, universalidad y solidaridad.”</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 xml:space="preserve">ACCESO AL AGUA POTABLE EN COLOMBIA </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Aunque en la última década, la cobertura de acueducto a nivel nacional registró una mejora sustancial, pasando de 79.7% en 1993 a 86.1% en el 2003(1)</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La</w:t>
      </w:r>
      <w:r w:rsidRPr="00E55A07">
        <w:rPr>
          <w:rFonts w:ascii="Arial" w:hAnsi="Arial" w:cs="Arial"/>
          <w:color w:val="2D2D2D"/>
          <w:highlight w:val="white"/>
          <w:lang w:val="es-ES_tradnl" w:eastAsia="es-ES"/>
        </w:rPr>
        <w:t xml:space="preserve"> cobertura del servicio de acueducto no llega a 3,6 millones de personas y en alcantarillado falta cubrir a 5,6 millones de colombianos.</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2D2D2D"/>
          <w:highlight w:val="white"/>
          <w:lang w:val="es-ES_tradnl" w:eastAsia="es-ES"/>
        </w:rPr>
      </w:pPr>
      <w:r w:rsidRPr="00E55A07">
        <w:rPr>
          <w:rFonts w:ascii="Arial" w:hAnsi="Arial" w:cs="Arial"/>
          <w:color w:val="2D2D2D"/>
          <w:highlight w:val="white"/>
          <w:lang w:val="es-ES_tradnl" w:eastAsia="es-ES"/>
        </w:rPr>
        <w:t>Del total de planes de desarrollo analizados, 568 municipios (56%) incluyen la cobertura urbana de acueducto en sus diagnósticos, mientras que el 44% restante no lo hace. Para las zonas rurales y de población dispersa, solo el 35% de los municipios incluyen el dato de cobertura de acueducto</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lastRenderedPageBreak/>
        <w:t xml:space="preserve">La tasa de morbilidad y mortalidad infantil por enfermedades relacionadas con el consumo de agua de baja calidad, entre las que se encuentran la diarrea y el cólera, aún es alta en el país20. Las malas aguas generan un impacto negativo en la salud pública que según cálculos recientes asciende aproximadamente a 1,96 billones de pesos al año21, de los cuales el 70% corresponde al impacto de la morbilidad y mortalidad por enfermedades </w:t>
      </w:r>
      <w:r w:rsidRPr="00E55A07">
        <w:rPr>
          <w:rFonts w:ascii="Arial" w:hAnsi="Arial" w:cs="Arial"/>
          <w:color w:val="000000"/>
          <w:lang w:val="es-ES_tradnl" w:eastAsia="es-ES"/>
        </w:rPr>
        <w:t>diarreicas</w:t>
      </w:r>
      <w:r w:rsidRPr="00E55A07">
        <w:rPr>
          <w:rFonts w:ascii="Arial" w:hAnsi="Arial" w:cs="Arial"/>
          <w:color w:val="000000"/>
          <w:lang w:val="es-ES_tradnl" w:eastAsia="es-ES"/>
        </w:rPr>
        <w:t xml:space="preserve"> y el 30% restante al gasto en prevención.</w:t>
      </w:r>
    </w:p>
    <w:p w:rsidR="00E55A07" w:rsidRPr="00E55A07" w:rsidRDefault="00E55A07" w:rsidP="00E55A07">
      <w:pPr>
        <w:pBdr>
          <w:top w:val="nil"/>
          <w:left w:val="nil"/>
          <w:bottom w:val="nil"/>
          <w:right w:val="nil"/>
          <w:between w:val="nil"/>
        </w:pBdr>
        <w:spacing w:before="240" w:after="0" w:line="276" w:lineRule="auto"/>
        <w:jc w:val="both"/>
        <w:rPr>
          <w:rFonts w:ascii="Arial" w:hAnsi="Arial" w:cs="Arial"/>
          <w:color w:val="000000"/>
          <w:lang w:val="es-ES_tradnl" w:eastAsia="es-ES"/>
        </w:rPr>
      </w:pPr>
      <w:r w:rsidRPr="00E55A07">
        <w:rPr>
          <w:rFonts w:ascii="Arial" w:hAnsi="Arial" w:cs="Arial"/>
          <w:color w:val="000000"/>
          <w:lang w:val="es-ES_tradnl" w:eastAsia="es-ES"/>
        </w:rPr>
        <w:t xml:space="preserve">En esta medida una de las estrategias centrales para la universalización del acceso al derecho fundamental al agua potable es desvincular el acceso al servicio </w:t>
      </w:r>
      <w:r w:rsidRPr="00E55A07">
        <w:rPr>
          <w:rFonts w:ascii="Arial" w:hAnsi="Arial" w:cs="Arial"/>
          <w:color w:val="000000"/>
          <w:lang w:val="es-ES_tradnl" w:eastAsia="es-ES"/>
        </w:rPr>
        <w:t>público</w:t>
      </w:r>
      <w:r w:rsidRPr="00E55A07">
        <w:rPr>
          <w:rFonts w:ascii="Arial" w:hAnsi="Arial" w:cs="Arial"/>
          <w:color w:val="000000"/>
          <w:lang w:val="es-ES_tradnl" w:eastAsia="es-ES"/>
        </w:rPr>
        <w:t xml:space="preserve"> de agua potable de la unidad habitacional, adicionando un valor de bienestar al espacio </w:t>
      </w:r>
      <w:r w:rsidRPr="00E55A07">
        <w:rPr>
          <w:rFonts w:ascii="Arial" w:hAnsi="Arial" w:cs="Arial"/>
          <w:color w:val="000000"/>
          <w:lang w:val="es-ES_tradnl" w:eastAsia="es-ES"/>
        </w:rPr>
        <w:t>público</w:t>
      </w:r>
      <w:r w:rsidRPr="00E55A07">
        <w:rPr>
          <w:rFonts w:ascii="Arial" w:hAnsi="Arial" w:cs="Arial"/>
          <w:color w:val="000000"/>
          <w:lang w:val="es-ES_tradnl" w:eastAsia="es-ES"/>
        </w:rPr>
        <w:t xml:space="preserve"> que se espera </w:t>
      </w:r>
      <w:r w:rsidRPr="00E55A07">
        <w:rPr>
          <w:rFonts w:ascii="Arial" w:hAnsi="Arial" w:cs="Arial"/>
          <w:color w:val="000000"/>
          <w:lang w:val="es-ES_tradnl" w:eastAsia="es-ES"/>
        </w:rPr>
        <w:t>repercuta</w:t>
      </w:r>
      <w:r w:rsidRPr="00E55A07">
        <w:rPr>
          <w:rFonts w:ascii="Arial" w:hAnsi="Arial" w:cs="Arial"/>
          <w:color w:val="000000"/>
          <w:lang w:val="es-ES_tradnl" w:eastAsia="es-ES"/>
        </w:rPr>
        <w:t xml:space="preserve"> en la calidad de vida de los habitantes e impacte sobre las inequidades en el acceso propias de las grandes urbes.</w:t>
      </w:r>
    </w:p>
    <w:p w:rsidR="00E55A07" w:rsidRPr="00E55A07" w:rsidRDefault="00E55A07" w:rsidP="00E55A07">
      <w:pPr>
        <w:pBdr>
          <w:top w:val="nil"/>
          <w:left w:val="nil"/>
          <w:bottom w:val="nil"/>
          <w:right w:val="nil"/>
          <w:between w:val="nil"/>
        </w:pBdr>
        <w:spacing w:before="240" w:after="0" w:line="276" w:lineRule="auto"/>
        <w:jc w:val="center"/>
        <w:rPr>
          <w:rFonts w:ascii="Arial" w:hAnsi="Arial" w:cs="Arial"/>
          <w:b/>
          <w:color w:val="000000"/>
          <w:lang w:val="es-ES_tradnl" w:eastAsia="es-ES"/>
        </w:rPr>
      </w:pPr>
    </w:p>
    <w:p w:rsidR="00E55A07" w:rsidRPr="00E55A07" w:rsidRDefault="00E55A07" w:rsidP="00E55A07">
      <w:pPr>
        <w:pBdr>
          <w:top w:val="nil"/>
          <w:left w:val="nil"/>
          <w:bottom w:val="nil"/>
          <w:right w:val="nil"/>
          <w:between w:val="nil"/>
        </w:pBdr>
        <w:spacing w:before="240" w:after="0" w:line="276" w:lineRule="auto"/>
        <w:jc w:val="center"/>
        <w:rPr>
          <w:rFonts w:ascii="Arial" w:hAnsi="Arial" w:cs="Arial"/>
          <w:b/>
          <w:color w:val="000000"/>
          <w:lang w:val="es-ES_tradnl" w:eastAsia="es-ES"/>
        </w:rPr>
      </w:pPr>
    </w:p>
    <w:p w:rsidR="00383616" w:rsidRPr="00E55A07" w:rsidRDefault="00383616" w:rsidP="00B6166B">
      <w:pPr>
        <w:spacing w:before="280" w:after="280" w:line="360" w:lineRule="auto"/>
        <w:jc w:val="both"/>
        <w:rPr>
          <w:rFonts w:ascii="Arial" w:eastAsia="Arial" w:hAnsi="Arial" w:cs="Arial"/>
        </w:rPr>
      </w:pPr>
    </w:p>
    <w:p w:rsidR="00B6166B" w:rsidRPr="00E55A07" w:rsidRDefault="00B6166B" w:rsidP="00B6166B">
      <w:pPr>
        <w:spacing w:before="280" w:after="280" w:line="360" w:lineRule="auto"/>
        <w:jc w:val="both"/>
        <w:rPr>
          <w:rFonts w:ascii="Arial" w:eastAsia="Arial" w:hAnsi="Arial" w:cs="Arial"/>
        </w:rPr>
      </w:pPr>
      <w:r w:rsidRPr="00E55A07">
        <w:rPr>
          <w:rFonts w:ascii="Arial" w:eastAsia="Arial" w:hAnsi="Arial" w:cs="Arial"/>
        </w:rPr>
        <w:t>Cordialmente,</w:t>
      </w:r>
    </w:p>
    <w:p w:rsidR="00C5482E" w:rsidRPr="00E55A07" w:rsidRDefault="00C5482E" w:rsidP="00C5482E">
      <w:pPr>
        <w:spacing w:line="360" w:lineRule="auto"/>
        <w:jc w:val="both"/>
        <w:rPr>
          <w:rFonts w:ascii="Arial" w:eastAsia="Arial" w:hAnsi="Arial" w:cs="Arial"/>
        </w:rPr>
      </w:pPr>
    </w:p>
    <w:p w:rsidR="00195767" w:rsidRPr="00E55A07" w:rsidRDefault="00195767" w:rsidP="00195767">
      <w:pPr>
        <w:spacing w:after="0"/>
        <w:rPr>
          <w:rFonts w:ascii="Arial" w:eastAsiaTheme="minorHAnsi" w:hAnsi="Arial" w:cs="Arial"/>
          <w:b/>
          <w:color w:val="000000"/>
          <w:lang w:eastAsia="en-US"/>
        </w:rPr>
      </w:pPr>
      <w:r w:rsidRPr="00E55A07">
        <w:rPr>
          <w:rFonts w:ascii="Arial" w:eastAsiaTheme="minorHAnsi" w:hAnsi="Arial" w:cs="Arial"/>
          <w:b/>
          <w:color w:val="000000"/>
          <w:lang w:eastAsia="en-US"/>
        </w:rPr>
        <w:t>FABIÁN DÍAZ PLATA</w:t>
      </w:r>
    </w:p>
    <w:p w:rsidR="00195767" w:rsidRPr="00E55A07" w:rsidRDefault="00195767" w:rsidP="00195767">
      <w:pPr>
        <w:spacing w:after="0"/>
        <w:rPr>
          <w:rFonts w:ascii="Arial" w:eastAsiaTheme="minorHAnsi" w:hAnsi="Arial" w:cs="Arial"/>
          <w:color w:val="000000"/>
          <w:lang w:eastAsia="en-US"/>
        </w:rPr>
      </w:pPr>
      <w:r w:rsidRPr="00E55A07">
        <w:rPr>
          <w:rFonts w:ascii="Arial" w:eastAsiaTheme="minorHAnsi" w:hAnsi="Arial" w:cs="Arial"/>
          <w:color w:val="000000"/>
          <w:lang w:eastAsia="en-US"/>
        </w:rPr>
        <w:t>Representante a la Cámara</w:t>
      </w:r>
    </w:p>
    <w:p w:rsidR="00195767" w:rsidRPr="00E55A07" w:rsidRDefault="00195767" w:rsidP="00195767">
      <w:pPr>
        <w:spacing w:line="360" w:lineRule="auto"/>
        <w:jc w:val="both"/>
        <w:rPr>
          <w:rFonts w:ascii="Arial" w:eastAsia="Arial" w:hAnsi="Arial" w:cs="Arial"/>
        </w:rPr>
      </w:pPr>
      <w:r w:rsidRPr="00E55A07">
        <w:rPr>
          <w:rFonts w:ascii="Arial" w:eastAsiaTheme="minorHAnsi" w:hAnsi="Arial" w:cs="Arial"/>
          <w:color w:val="000000"/>
          <w:lang w:eastAsia="en-US"/>
        </w:rPr>
        <w:t>Departamento de Santander</w:t>
      </w:r>
    </w:p>
    <w:sectPr w:rsidR="00195767" w:rsidRPr="00E55A07" w:rsidSect="00D04D0C">
      <w:headerReference w:type="default" r:id="rId8"/>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340E" w:rsidRDefault="00DF340E" w:rsidP="00307E2E">
      <w:pPr>
        <w:spacing w:after="0" w:line="240" w:lineRule="auto"/>
      </w:pPr>
      <w:r>
        <w:separator/>
      </w:r>
    </w:p>
  </w:endnote>
  <w:endnote w:type="continuationSeparator" w:id="0">
    <w:p w:rsidR="00DF340E" w:rsidRDefault="00DF340E"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340E" w:rsidRDefault="00DF340E" w:rsidP="00307E2E">
      <w:pPr>
        <w:spacing w:after="0" w:line="240" w:lineRule="auto"/>
      </w:pPr>
      <w:r>
        <w:separator/>
      </w:r>
    </w:p>
  </w:footnote>
  <w:footnote w:type="continuationSeparator" w:id="0">
    <w:p w:rsidR="00DF340E" w:rsidRDefault="00DF340E" w:rsidP="00307E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581DAA"/>
    <w:multiLevelType w:val="multilevel"/>
    <w:tmpl w:val="74D0C6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7"/>
  </w:num>
  <w:num w:numId="3">
    <w:abstractNumId w:val="2"/>
  </w:num>
  <w:num w:numId="4">
    <w:abstractNumId w:val="1"/>
  </w:num>
  <w:num w:numId="5">
    <w:abstractNumId w:val="12"/>
  </w:num>
  <w:num w:numId="6">
    <w:abstractNumId w:val="15"/>
  </w:num>
  <w:num w:numId="7">
    <w:abstractNumId w:val="14"/>
  </w:num>
  <w:num w:numId="8">
    <w:abstractNumId w:val="11"/>
  </w:num>
  <w:num w:numId="9">
    <w:abstractNumId w:val="6"/>
  </w:num>
  <w:num w:numId="10">
    <w:abstractNumId w:val="0"/>
  </w:num>
  <w:num w:numId="11">
    <w:abstractNumId w:val="8"/>
  </w:num>
  <w:num w:numId="12">
    <w:abstractNumId w:val="9"/>
  </w:num>
  <w:num w:numId="13">
    <w:abstractNumId w:val="18"/>
  </w:num>
  <w:num w:numId="14">
    <w:abstractNumId w:val="4"/>
  </w:num>
  <w:num w:numId="15">
    <w:abstractNumId w:val="16"/>
  </w:num>
  <w:num w:numId="16">
    <w:abstractNumId w:val="5"/>
  </w:num>
  <w:num w:numId="17">
    <w:abstractNumId w:val="7"/>
  </w:num>
  <w:num w:numId="18">
    <w:abstractNumId w:val="3"/>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3C99"/>
    <w:rsid w:val="002068B5"/>
    <w:rsid w:val="00222FBF"/>
    <w:rsid w:val="002323EC"/>
    <w:rsid w:val="002438F6"/>
    <w:rsid w:val="002A0713"/>
    <w:rsid w:val="002A62E3"/>
    <w:rsid w:val="002D70CE"/>
    <w:rsid w:val="002D7C81"/>
    <w:rsid w:val="002E7E39"/>
    <w:rsid w:val="002F688E"/>
    <w:rsid w:val="002F7DE2"/>
    <w:rsid w:val="003049F4"/>
    <w:rsid w:val="00304E5F"/>
    <w:rsid w:val="0030677C"/>
    <w:rsid w:val="00307E2E"/>
    <w:rsid w:val="00311ECC"/>
    <w:rsid w:val="00330CA8"/>
    <w:rsid w:val="0033379B"/>
    <w:rsid w:val="00336538"/>
    <w:rsid w:val="003436C2"/>
    <w:rsid w:val="0034638F"/>
    <w:rsid w:val="00347716"/>
    <w:rsid w:val="003479F1"/>
    <w:rsid w:val="00351416"/>
    <w:rsid w:val="00363D96"/>
    <w:rsid w:val="0036602C"/>
    <w:rsid w:val="0037517E"/>
    <w:rsid w:val="00383616"/>
    <w:rsid w:val="003863FA"/>
    <w:rsid w:val="00386FEF"/>
    <w:rsid w:val="003A0089"/>
    <w:rsid w:val="003A5F9D"/>
    <w:rsid w:val="003B264A"/>
    <w:rsid w:val="003C7AC0"/>
    <w:rsid w:val="003D3AE5"/>
    <w:rsid w:val="003E3BEC"/>
    <w:rsid w:val="003F49D0"/>
    <w:rsid w:val="00401C54"/>
    <w:rsid w:val="004157F9"/>
    <w:rsid w:val="00420B03"/>
    <w:rsid w:val="00452546"/>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C517D"/>
    <w:rsid w:val="005E17D1"/>
    <w:rsid w:val="005E4379"/>
    <w:rsid w:val="005E60D1"/>
    <w:rsid w:val="00600521"/>
    <w:rsid w:val="006040E5"/>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7AC4"/>
    <w:rsid w:val="008B022A"/>
    <w:rsid w:val="008B06A7"/>
    <w:rsid w:val="008B0A09"/>
    <w:rsid w:val="008C521D"/>
    <w:rsid w:val="008C5408"/>
    <w:rsid w:val="008C7B55"/>
    <w:rsid w:val="00921F27"/>
    <w:rsid w:val="00927E8E"/>
    <w:rsid w:val="00932933"/>
    <w:rsid w:val="009355CE"/>
    <w:rsid w:val="00941DA6"/>
    <w:rsid w:val="009423CC"/>
    <w:rsid w:val="00942D96"/>
    <w:rsid w:val="00952848"/>
    <w:rsid w:val="00964F40"/>
    <w:rsid w:val="00975BA2"/>
    <w:rsid w:val="009A4431"/>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6B69"/>
    <w:rsid w:val="00A37AAF"/>
    <w:rsid w:val="00A46184"/>
    <w:rsid w:val="00A56795"/>
    <w:rsid w:val="00A64116"/>
    <w:rsid w:val="00A6549F"/>
    <w:rsid w:val="00A75510"/>
    <w:rsid w:val="00A76DFE"/>
    <w:rsid w:val="00A93611"/>
    <w:rsid w:val="00A968E4"/>
    <w:rsid w:val="00AA2F03"/>
    <w:rsid w:val="00AA7A93"/>
    <w:rsid w:val="00AB2E8B"/>
    <w:rsid w:val="00AD2D50"/>
    <w:rsid w:val="00AD36AB"/>
    <w:rsid w:val="00AE3224"/>
    <w:rsid w:val="00AE3B03"/>
    <w:rsid w:val="00B06795"/>
    <w:rsid w:val="00B07DB6"/>
    <w:rsid w:val="00B10CD1"/>
    <w:rsid w:val="00B20822"/>
    <w:rsid w:val="00B418E6"/>
    <w:rsid w:val="00B4219A"/>
    <w:rsid w:val="00B47AA4"/>
    <w:rsid w:val="00B5749A"/>
    <w:rsid w:val="00B6166B"/>
    <w:rsid w:val="00B73920"/>
    <w:rsid w:val="00B95A85"/>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47131"/>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CF730F"/>
    <w:rsid w:val="00D04D0C"/>
    <w:rsid w:val="00D0514B"/>
    <w:rsid w:val="00D12401"/>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DF340E"/>
    <w:rsid w:val="00E005C9"/>
    <w:rsid w:val="00E0380F"/>
    <w:rsid w:val="00E05F91"/>
    <w:rsid w:val="00E3050D"/>
    <w:rsid w:val="00E335AC"/>
    <w:rsid w:val="00E44076"/>
    <w:rsid w:val="00E52429"/>
    <w:rsid w:val="00E54290"/>
    <w:rsid w:val="00E55A07"/>
    <w:rsid w:val="00E5760A"/>
    <w:rsid w:val="00E74695"/>
    <w:rsid w:val="00E779BC"/>
    <w:rsid w:val="00E82942"/>
    <w:rsid w:val="00E842ED"/>
    <w:rsid w:val="00E852D1"/>
    <w:rsid w:val="00E92B71"/>
    <w:rsid w:val="00EB7C9C"/>
    <w:rsid w:val="00EC2E3C"/>
    <w:rsid w:val="00EC5A79"/>
    <w:rsid w:val="00EC7E14"/>
    <w:rsid w:val="00ED3FF5"/>
    <w:rsid w:val="00ED5267"/>
    <w:rsid w:val="00EF56A6"/>
    <w:rsid w:val="00EF7B3F"/>
    <w:rsid w:val="00F05E11"/>
    <w:rsid w:val="00F063BB"/>
    <w:rsid w:val="00F21040"/>
    <w:rsid w:val="00F2130E"/>
    <w:rsid w:val="00F34345"/>
    <w:rsid w:val="00F43685"/>
    <w:rsid w:val="00F531F6"/>
    <w:rsid w:val="00F53F47"/>
    <w:rsid w:val="00F770CB"/>
    <w:rsid w:val="00F90047"/>
    <w:rsid w:val="00F93B13"/>
    <w:rsid w:val="00F95F17"/>
    <w:rsid w:val="00FC3C1B"/>
    <w:rsid w:val="00FC7CA5"/>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482E"/>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FDCCFA-20FF-450C-829B-F62425DAE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1460</Words>
  <Characters>8036</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8</cp:revision>
  <cp:lastPrinted>2019-07-18T21:51:00Z</cp:lastPrinted>
  <dcterms:created xsi:type="dcterms:W3CDTF">2019-07-18T21:47:00Z</dcterms:created>
  <dcterms:modified xsi:type="dcterms:W3CDTF">2019-07-18T21:55:00Z</dcterms:modified>
</cp:coreProperties>
</file>