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401C54" w:rsidRDefault="00222FBF" w:rsidP="00C5482E">
      <w:pPr>
        <w:rPr>
          <w:rFonts w:ascii="Arial" w:hAnsi="Arial" w:cs="Arial"/>
        </w:rPr>
      </w:pPr>
    </w:p>
    <w:p w:rsidR="00C5482E" w:rsidRPr="00401C54" w:rsidRDefault="00C5482E" w:rsidP="00A6549F">
      <w:pPr>
        <w:spacing w:line="360" w:lineRule="auto"/>
        <w:jc w:val="center"/>
        <w:rPr>
          <w:rFonts w:ascii="Arial" w:eastAsia="Arial" w:hAnsi="Arial" w:cs="Arial"/>
          <w:b/>
        </w:rPr>
      </w:pPr>
      <w:r w:rsidRPr="00401C54">
        <w:rPr>
          <w:rFonts w:ascii="Arial" w:eastAsia="Arial" w:hAnsi="Arial" w:cs="Arial"/>
          <w:b/>
        </w:rPr>
        <w:t xml:space="preserve">PROYECTO DE LEY No ____ </w:t>
      </w:r>
      <w:r w:rsidR="00A6549F" w:rsidRPr="00401C54">
        <w:rPr>
          <w:rFonts w:ascii="Arial" w:eastAsia="Arial" w:hAnsi="Arial" w:cs="Arial"/>
          <w:b/>
        </w:rPr>
        <w:t xml:space="preserve">DE 2019 </w:t>
      </w:r>
      <w:r w:rsidRPr="00401C54">
        <w:rPr>
          <w:rFonts w:ascii="Arial" w:eastAsia="Arial" w:hAnsi="Arial" w:cs="Arial"/>
          <w:b/>
        </w:rPr>
        <w:t>Cámara</w:t>
      </w:r>
    </w:p>
    <w:p w:rsidR="00B6166B" w:rsidRPr="00401C54" w:rsidRDefault="00B6166B" w:rsidP="00B6166B">
      <w:pPr>
        <w:spacing w:line="360" w:lineRule="auto"/>
        <w:ind w:firstLine="708"/>
        <w:jc w:val="center"/>
        <w:rPr>
          <w:rFonts w:ascii="Arial" w:eastAsia="Arial" w:hAnsi="Arial" w:cs="Arial"/>
        </w:rPr>
      </w:pPr>
      <w:r w:rsidRPr="00401C54">
        <w:rPr>
          <w:rFonts w:ascii="Arial" w:eastAsia="Arial" w:hAnsi="Arial" w:cs="Arial"/>
        </w:rPr>
        <w:t>“Por medio del cual se dictan medidas en relación con los peajes”</w:t>
      </w:r>
    </w:p>
    <w:p w:rsidR="00C5482E" w:rsidRPr="00401C54" w:rsidRDefault="00C5482E" w:rsidP="00A6549F">
      <w:pPr>
        <w:spacing w:line="360" w:lineRule="auto"/>
        <w:jc w:val="center"/>
        <w:rPr>
          <w:rFonts w:ascii="Arial" w:eastAsia="Arial" w:hAnsi="Arial" w:cs="Arial"/>
          <w:b/>
        </w:rPr>
      </w:pPr>
      <w:r w:rsidRPr="00401C54">
        <w:rPr>
          <w:rFonts w:ascii="Arial" w:eastAsia="Arial" w:hAnsi="Arial" w:cs="Arial"/>
          <w:b/>
        </w:rPr>
        <w:t>El Congreso de la República de Colombia</w:t>
      </w:r>
    </w:p>
    <w:p w:rsidR="00C5482E" w:rsidRPr="00401C54" w:rsidRDefault="00C5482E" w:rsidP="00A6549F">
      <w:pPr>
        <w:spacing w:line="360" w:lineRule="auto"/>
        <w:jc w:val="center"/>
        <w:rPr>
          <w:rFonts w:ascii="Arial" w:eastAsia="Arial" w:hAnsi="Arial" w:cs="Arial"/>
          <w:b/>
        </w:rPr>
      </w:pPr>
      <w:r w:rsidRPr="00401C54">
        <w:rPr>
          <w:rFonts w:ascii="Arial" w:eastAsia="Arial" w:hAnsi="Arial" w:cs="Arial"/>
          <w:b/>
        </w:rPr>
        <w:t>DECRETA:</w:t>
      </w:r>
    </w:p>
    <w:p w:rsidR="00401C54" w:rsidRPr="00401C54" w:rsidRDefault="00401C54" w:rsidP="00401C54">
      <w:pPr>
        <w:spacing w:line="360" w:lineRule="auto"/>
        <w:jc w:val="both"/>
        <w:rPr>
          <w:rFonts w:ascii="Arial" w:eastAsia="Arial" w:hAnsi="Arial" w:cs="Arial"/>
        </w:rPr>
      </w:pPr>
      <w:r w:rsidRPr="00401C54">
        <w:rPr>
          <w:rFonts w:ascii="Arial" w:eastAsia="Arial" w:hAnsi="Arial" w:cs="Arial"/>
          <w:b/>
        </w:rPr>
        <w:t>Artículo 1</w:t>
      </w:r>
      <w:r>
        <w:rPr>
          <w:rFonts w:ascii="Arial" w:eastAsia="Arial" w:hAnsi="Arial" w:cs="Arial"/>
          <w:b/>
        </w:rPr>
        <w:t>°</w:t>
      </w:r>
      <w:r w:rsidRPr="00401C54">
        <w:rPr>
          <w:rFonts w:ascii="Arial" w:eastAsia="Arial" w:hAnsi="Arial" w:cs="Arial"/>
          <w:b/>
        </w:rPr>
        <w:t>. Objeto.</w:t>
      </w:r>
      <w:r w:rsidRPr="00401C54">
        <w:rPr>
          <w:rFonts w:ascii="Arial" w:eastAsia="Arial" w:hAnsi="Arial" w:cs="Arial"/>
        </w:rPr>
        <w:t xml:space="preserve"> La presente ley tiene por objeto diseñar una regulación mínima que evite abusos al momento de establecer tarifas e infraestructura de peajes de carreteras.</w:t>
      </w:r>
    </w:p>
    <w:p w:rsidR="00401C54" w:rsidRPr="00401C54" w:rsidRDefault="00386FEF" w:rsidP="00401C54">
      <w:pPr>
        <w:pBdr>
          <w:top w:val="nil"/>
          <w:left w:val="nil"/>
          <w:bottom w:val="nil"/>
          <w:right w:val="nil"/>
          <w:between w:val="nil"/>
        </w:pBdr>
        <w:spacing w:line="360" w:lineRule="auto"/>
        <w:jc w:val="both"/>
        <w:rPr>
          <w:rFonts w:ascii="Arial" w:eastAsia="Arial" w:hAnsi="Arial" w:cs="Arial"/>
          <w:color w:val="000000"/>
        </w:rPr>
      </w:pPr>
      <w:r w:rsidRPr="00401C54">
        <w:rPr>
          <w:rFonts w:ascii="Arial" w:eastAsia="Arial" w:hAnsi="Arial" w:cs="Arial"/>
          <w:b/>
          <w:color w:val="000000"/>
        </w:rPr>
        <w:t>Artículo</w:t>
      </w:r>
      <w:r w:rsidR="00401C54" w:rsidRPr="00401C54">
        <w:rPr>
          <w:rFonts w:ascii="Arial" w:eastAsia="Arial" w:hAnsi="Arial" w:cs="Arial"/>
          <w:b/>
          <w:color w:val="000000"/>
        </w:rPr>
        <w:t xml:space="preserve"> </w:t>
      </w:r>
      <w:r w:rsidR="00401C54" w:rsidRPr="00401C54">
        <w:rPr>
          <w:rFonts w:ascii="Arial" w:eastAsia="Arial" w:hAnsi="Arial" w:cs="Arial"/>
          <w:b/>
        </w:rPr>
        <w:t>2</w:t>
      </w:r>
      <w:r w:rsidR="00401C54">
        <w:rPr>
          <w:rFonts w:ascii="Arial" w:eastAsia="Arial" w:hAnsi="Arial" w:cs="Arial"/>
          <w:b/>
        </w:rPr>
        <w:t>°.</w:t>
      </w:r>
      <w:r w:rsidR="00401C54" w:rsidRPr="00401C54">
        <w:rPr>
          <w:rFonts w:ascii="Arial" w:eastAsia="Arial" w:hAnsi="Arial" w:cs="Arial"/>
          <w:b/>
          <w:color w:val="000000"/>
        </w:rPr>
        <w:t xml:space="preserve"> Estructuración de tarifas. </w:t>
      </w:r>
      <w:r w:rsidR="00401C54" w:rsidRPr="00401C54">
        <w:rPr>
          <w:rFonts w:ascii="Arial" w:eastAsia="Arial" w:hAnsi="Arial" w:cs="Arial"/>
          <w:color w:val="000000"/>
        </w:rPr>
        <w:t xml:space="preserve"> La estructuración tarifaria de los peajes deberá ser diferencial considerando la condición socioeconómica y nivel de ingresos de los pobladores de la zona afectada por la concesión vial con relación a la de quienes simplemente transitan por la concesión.</w:t>
      </w:r>
    </w:p>
    <w:p w:rsidR="00401C54" w:rsidRPr="00401C54" w:rsidRDefault="00401C54" w:rsidP="00401C54">
      <w:pPr>
        <w:pBdr>
          <w:top w:val="nil"/>
          <w:left w:val="nil"/>
          <w:bottom w:val="nil"/>
          <w:right w:val="nil"/>
          <w:between w:val="nil"/>
        </w:pBdr>
        <w:spacing w:line="360" w:lineRule="auto"/>
        <w:jc w:val="both"/>
        <w:rPr>
          <w:rFonts w:ascii="Arial" w:eastAsia="Arial" w:hAnsi="Arial" w:cs="Arial"/>
          <w:color w:val="000000"/>
        </w:rPr>
      </w:pPr>
      <w:r w:rsidRPr="00401C54">
        <w:rPr>
          <w:rFonts w:ascii="Arial" w:eastAsia="Arial" w:hAnsi="Arial" w:cs="Arial"/>
          <w:color w:val="000000"/>
        </w:rPr>
        <w:t xml:space="preserve">La determinación de las zonas de afectación será responsabilidad del Gobierno Nacional en cabeza del Ministerio de transporte de forma coordinada con el concesionario </w:t>
      </w:r>
    </w:p>
    <w:p w:rsidR="00401C54" w:rsidRPr="00386FEF" w:rsidRDefault="00386FEF" w:rsidP="00401C54">
      <w:pPr>
        <w:pBdr>
          <w:top w:val="nil"/>
          <w:left w:val="nil"/>
          <w:bottom w:val="nil"/>
          <w:right w:val="nil"/>
          <w:between w:val="nil"/>
        </w:pBdr>
        <w:spacing w:line="360" w:lineRule="auto"/>
        <w:jc w:val="both"/>
        <w:rPr>
          <w:rFonts w:ascii="Arial" w:eastAsia="Arial" w:hAnsi="Arial" w:cs="Arial"/>
          <w:b/>
          <w:color w:val="000000"/>
        </w:rPr>
      </w:pPr>
      <w:r w:rsidRPr="00401C54">
        <w:rPr>
          <w:rFonts w:ascii="Arial" w:eastAsia="Arial" w:hAnsi="Arial" w:cs="Arial"/>
          <w:b/>
          <w:color w:val="000000"/>
        </w:rPr>
        <w:t>Artículo</w:t>
      </w:r>
      <w:r w:rsidR="00401C54" w:rsidRPr="00401C54">
        <w:rPr>
          <w:rFonts w:ascii="Arial" w:eastAsia="Arial" w:hAnsi="Arial" w:cs="Arial"/>
          <w:b/>
          <w:color w:val="000000"/>
        </w:rPr>
        <w:t xml:space="preserve"> </w:t>
      </w:r>
      <w:r w:rsidR="00401C54" w:rsidRPr="00401C54">
        <w:rPr>
          <w:rFonts w:ascii="Arial" w:eastAsia="Arial" w:hAnsi="Arial" w:cs="Arial"/>
          <w:b/>
        </w:rPr>
        <w:t>3</w:t>
      </w:r>
      <w:r w:rsidR="00401C54">
        <w:rPr>
          <w:rFonts w:ascii="Arial" w:eastAsia="Arial" w:hAnsi="Arial" w:cs="Arial"/>
          <w:b/>
        </w:rPr>
        <w:t>°.</w:t>
      </w:r>
      <w:r w:rsidR="00401C54" w:rsidRPr="00401C54">
        <w:rPr>
          <w:rFonts w:ascii="Arial" w:eastAsia="Arial" w:hAnsi="Arial" w:cs="Arial"/>
          <w:b/>
          <w:color w:val="000000"/>
        </w:rPr>
        <w:t xml:space="preserve"> </w:t>
      </w:r>
      <w:r w:rsidRPr="00401C54">
        <w:rPr>
          <w:rFonts w:ascii="Arial" w:eastAsia="Arial" w:hAnsi="Arial" w:cs="Arial"/>
          <w:b/>
        </w:rPr>
        <w:t>Tarifas</w:t>
      </w:r>
      <w:r w:rsidR="00401C54" w:rsidRPr="00401C54">
        <w:rPr>
          <w:rFonts w:ascii="Arial" w:eastAsia="Arial" w:hAnsi="Arial" w:cs="Arial"/>
          <w:b/>
          <w:color w:val="000000"/>
        </w:rPr>
        <w:t xml:space="preserve"> diferenciales.</w:t>
      </w:r>
      <w:r>
        <w:rPr>
          <w:rFonts w:ascii="Arial" w:eastAsia="Arial" w:hAnsi="Arial" w:cs="Arial"/>
          <w:b/>
          <w:color w:val="000000"/>
        </w:rPr>
        <w:t xml:space="preserve"> </w:t>
      </w:r>
      <w:r w:rsidR="00401C54" w:rsidRPr="00401C54">
        <w:rPr>
          <w:rFonts w:ascii="Arial" w:eastAsia="Arial" w:hAnsi="Arial" w:cs="Arial"/>
          <w:color w:val="000000"/>
        </w:rPr>
        <w:t xml:space="preserve">Aquellos vehículos que transporten productos agropecuarios producidos en el territorio nacional, deberán tener una tarifa </w:t>
      </w:r>
      <w:r w:rsidR="00401C54" w:rsidRPr="00401C54">
        <w:rPr>
          <w:rFonts w:ascii="Arial" w:eastAsia="Arial" w:hAnsi="Arial" w:cs="Arial"/>
        </w:rPr>
        <w:t>de peaje</w:t>
      </w:r>
      <w:r w:rsidR="00401C54" w:rsidRPr="00401C54">
        <w:rPr>
          <w:rFonts w:ascii="Arial" w:eastAsia="Arial" w:hAnsi="Arial" w:cs="Arial"/>
          <w:color w:val="000000"/>
        </w:rPr>
        <w:t xml:space="preserve"> menor o </w:t>
      </w:r>
      <w:r w:rsidRPr="00401C54">
        <w:rPr>
          <w:rFonts w:ascii="Arial" w:eastAsia="Arial" w:hAnsi="Arial" w:cs="Arial"/>
          <w:color w:val="000000"/>
        </w:rPr>
        <w:t>exento</w:t>
      </w:r>
      <w:r w:rsidR="00401C54" w:rsidRPr="00401C54">
        <w:rPr>
          <w:rFonts w:ascii="Arial" w:eastAsia="Arial" w:hAnsi="Arial" w:cs="Arial"/>
          <w:color w:val="000000"/>
        </w:rPr>
        <w:t>.</w:t>
      </w:r>
    </w:p>
    <w:p w:rsidR="00401C54" w:rsidRPr="00401C54" w:rsidRDefault="00401C54" w:rsidP="00401C54">
      <w:pPr>
        <w:pBdr>
          <w:top w:val="nil"/>
          <w:left w:val="nil"/>
          <w:bottom w:val="nil"/>
          <w:right w:val="nil"/>
          <w:between w:val="nil"/>
        </w:pBdr>
        <w:spacing w:line="360" w:lineRule="auto"/>
        <w:jc w:val="both"/>
        <w:rPr>
          <w:rFonts w:ascii="Arial" w:eastAsia="Arial" w:hAnsi="Arial" w:cs="Arial"/>
          <w:color w:val="000000"/>
        </w:rPr>
      </w:pPr>
      <w:r w:rsidRPr="00401C54">
        <w:rPr>
          <w:rFonts w:ascii="Arial" w:eastAsia="Arial" w:hAnsi="Arial" w:cs="Arial"/>
          <w:color w:val="000000"/>
        </w:rPr>
        <w:t>Para efectos de la determinación de la tarifa bastar</w:t>
      </w:r>
      <w:r w:rsidRPr="00401C54">
        <w:rPr>
          <w:rFonts w:ascii="Arial" w:eastAsia="Arial" w:hAnsi="Arial" w:cs="Arial"/>
        </w:rPr>
        <w:t>á</w:t>
      </w:r>
      <w:r w:rsidRPr="00401C54">
        <w:rPr>
          <w:rFonts w:ascii="Arial" w:eastAsia="Arial" w:hAnsi="Arial" w:cs="Arial"/>
          <w:color w:val="000000"/>
        </w:rPr>
        <w:t xml:space="preserve"> la presentación del manif</w:t>
      </w:r>
      <w:r w:rsidR="00E3050D">
        <w:rPr>
          <w:rFonts w:ascii="Arial" w:eastAsia="Arial" w:hAnsi="Arial" w:cs="Arial"/>
          <w:color w:val="000000"/>
        </w:rPr>
        <w:t>i</w:t>
      </w:r>
      <w:r w:rsidRPr="00401C54">
        <w:rPr>
          <w:rFonts w:ascii="Arial" w:eastAsia="Arial" w:hAnsi="Arial" w:cs="Arial"/>
          <w:color w:val="000000"/>
        </w:rPr>
        <w:t>est</w:t>
      </w:r>
      <w:r w:rsidRPr="00401C54">
        <w:rPr>
          <w:rFonts w:ascii="Arial" w:eastAsia="Arial" w:hAnsi="Arial" w:cs="Arial"/>
        </w:rPr>
        <w:t>o</w:t>
      </w:r>
      <w:r w:rsidRPr="00401C54">
        <w:rPr>
          <w:rFonts w:ascii="Arial" w:eastAsia="Arial" w:hAnsi="Arial" w:cs="Arial"/>
          <w:color w:val="000000"/>
        </w:rPr>
        <w:t xml:space="preserve"> de carga en el punto de cobro. </w:t>
      </w:r>
    </w:p>
    <w:p w:rsidR="00401C54" w:rsidRPr="00386FEF" w:rsidRDefault="00386FEF" w:rsidP="00401C54">
      <w:pPr>
        <w:pBdr>
          <w:top w:val="nil"/>
          <w:left w:val="nil"/>
          <w:bottom w:val="nil"/>
          <w:right w:val="nil"/>
          <w:between w:val="nil"/>
        </w:pBdr>
        <w:spacing w:line="360" w:lineRule="auto"/>
        <w:jc w:val="both"/>
        <w:rPr>
          <w:rFonts w:ascii="Arial" w:eastAsia="Arial" w:hAnsi="Arial" w:cs="Arial"/>
          <w:b/>
          <w:color w:val="000000"/>
        </w:rPr>
      </w:pPr>
      <w:r w:rsidRPr="00401C54">
        <w:rPr>
          <w:rFonts w:ascii="Arial" w:eastAsia="Arial" w:hAnsi="Arial" w:cs="Arial"/>
          <w:b/>
          <w:color w:val="000000"/>
        </w:rPr>
        <w:t>Artículo</w:t>
      </w:r>
      <w:r w:rsidR="00401C54" w:rsidRPr="00401C54">
        <w:rPr>
          <w:rFonts w:ascii="Arial" w:eastAsia="Arial" w:hAnsi="Arial" w:cs="Arial"/>
          <w:b/>
          <w:color w:val="000000"/>
        </w:rPr>
        <w:t xml:space="preserve"> </w:t>
      </w:r>
      <w:r w:rsidR="00401C54" w:rsidRPr="00401C54">
        <w:rPr>
          <w:rFonts w:ascii="Arial" w:eastAsia="Arial" w:hAnsi="Arial" w:cs="Arial"/>
          <w:b/>
        </w:rPr>
        <w:t>4</w:t>
      </w:r>
      <w:r w:rsidR="00401C54">
        <w:rPr>
          <w:rFonts w:ascii="Arial" w:eastAsia="Arial" w:hAnsi="Arial" w:cs="Arial"/>
          <w:b/>
        </w:rPr>
        <w:t>°.</w:t>
      </w:r>
      <w:r w:rsidR="00401C54" w:rsidRPr="00401C54">
        <w:rPr>
          <w:rFonts w:ascii="Arial" w:eastAsia="Arial" w:hAnsi="Arial" w:cs="Arial"/>
          <w:b/>
          <w:color w:val="000000"/>
        </w:rPr>
        <w:t xml:space="preserve"> </w:t>
      </w:r>
      <w:r w:rsidRPr="00401C54">
        <w:rPr>
          <w:rFonts w:ascii="Arial" w:eastAsia="Arial" w:hAnsi="Arial" w:cs="Arial"/>
          <w:b/>
          <w:color w:val="000000"/>
        </w:rPr>
        <w:t>Prohibición</w:t>
      </w:r>
      <w:r w:rsidR="00401C54" w:rsidRPr="00401C54">
        <w:rPr>
          <w:rFonts w:ascii="Arial" w:eastAsia="Arial" w:hAnsi="Arial" w:cs="Arial"/>
          <w:b/>
          <w:color w:val="000000"/>
        </w:rPr>
        <w:t xml:space="preserve"> cambios en la tarifa por calamidad</w:t>
      </w:r>
      <w:r>
        <w:rPr>
          <w:rFonts w:ascii="Arial" w:eastAsia="Arial" w:hAnsi="Arial" w:cs="Arial"/>
          <w:b/>
          <w:color w:val="000000"/>
        </w:rPr>
        <w:t xml:space="preserve"> </w:t>
      </w:r>
      <w:r w:rsidR="00401C54" w:rsidRPr="00401C54">
        <w:rPr>
          <w:rFonts w:ascii="Arial" w:eastAsia="Arial" w:hAnsi="Arial" w:cs="Arial"/>
          <w:color w:val="000000"/>
        </w:rPr>
        <w:t xml:space="preserve">Los daños en la infraestructura vial por causas naturales o antrópicas no serán causal de aumento de las tarifas cobradas a los usuarios de la concesión. </w:t>
      </w:r>
    </w:p>
    <w:p w:rsidR="00401C54" w:rsidRPr="00386FEF" w:rsidRDefault="00386FEF" w:rsidP="00386FEF">
      <w:pPr>
        <w:pBdr>
          <w:top w:val="nil"/>
          <w:left w:val="nil"/>
          <w:bottom w:val="nil"/>
          <w:right w:val="nil"/>
          <w:between w:val="nil"/>
        </w:pBdr>
        <w:spacing w:line="360" w:lineRule="auto"/>
        <w:jc w:val="both"/>
        <w:rPr>
          <w:rFonts w:ascii="Arial" w:eastAsia="Arial" w:hAnsi="Arial" w:cs="Arial"/>
          <w:b/>
          <w:color w:val="000000"/>
        </w:rPr>
      </w:pPr>
      <w:r w:rsidRPr="00401C54">
        <w:rPr>
          <w:rFonts w:ascii="Arial" w:eastAsia="Arial" w:hAnsi="Arial" w:cs="Arial"/>
          <w:b/>
          <w:color w:val="000000"/>
        </w:rPr>
        <w:t>Artículo</w:t>
      </w:r>
      <w:r w:rsidR="00401C54" w:rsidRPr="00401C54">
        <w:rPr>
          <w:rFonts w:ascii="Arial" w:eastAsia="Arial" w:hAnsi="Arial" w:cs="Arial"/>
          <w:b/>
          <w:color w:val="000000"/>
        </w:rPr>
        <w:t xml:space="preserve"> </w:t>
      </w:r>
      <w:r w:rsidR="00401C54" w:rsidRPr="00401C54">
        <w:rPr>
          <w:rFonts w:ascii="Arial" w:eastAsia="Arial" w:hAnsi="Arial" w:cs="Arial"/>
          <w:b/>
        </w:rPr>
        <w:t>5</w:t>
      </w:r>
      <w:r w:rsidR="00401C54">
        <w:rPr>
          <w:rFonts w:ascii="Arial" w:eastAsia="Arial" w:hAnsi="Arial" w:cs="Arial"/>
          <w:b/>
        </w:rPr>
        <w:t>°.</w:t>
      </w:r>
      <w:r w:rsidR="00401C54" w:rsidRPr="00401C54">
        <w:rPr>
          <w:rFonts w:ascii="Arial" w:eastAsia="Arial" w:hAnsi="Arial" w:cs="Arial"/>
          <w:b/>
          <w:color w:val="000000"/>
        </w:rPr>
        <w:t xml:space="preserve"> </w:t>
      </w:r>
      <w:r w:rsidRPr="00401C54">
        <w:rPr>
          <w:rFonts w:ascii="Arial" w:eastAsia="Arial" w:hAnsi="Arial" w:cs="Arial"/>
          <w:b/>
          <w:color w:val="000000"/>
        </w:rPr>
        <w:t>Reducción</w:t>
      </w:r>
      <w:r w:rsidR="00401C54" w:rsidRPr="00401C54">
        <w:rPr>
          <w:rFonts w:ascii="Arial" w:eastAsia="Arial" w:hAnsi="Arial" w:cs="Arial"/>
          <w:b/>
          <w:color w:val="000000"/>
        </w:rPr>
        <w:t xml:space="preserve"> de tarifas en vías de infraestructura compartida</w:t>
      </w:r>
      <w:r>
        <w:rPr>
          <w:rFonts w:ascii="Arial" w:eastAsia="Arial" w:hAnsi="Arial" w:cs="Arial"/>
          <w:b/>
          <w:color w:val="000000"/>
        </w:rPr>
        <w:t xml:space="preserve"> </w:t>
      </w:r>
      <w:r w:rsidR="00401C54" w:rsidRPr="00401C54">
        <w:rPr>
          <w:rFonts w:ascii="Arial" w:eastAsia="Arial" w:hAnsi="Arial" w:cs="Arial"/>
        </w:rPr>
        <w:t>Aquellos caminos atravesados o bordeados por líneas de transmisión eléctrica, oleoductos, o gasoductos, estarán afectos al pago de servidumbre a favor del concesionario de la infraestructura por parte de las personas jurídicas propietarias de la infraestructura energética o de gas, este valor será descontado de la tarifa del peaje cobrada a los usuarios. El valor de la servidumbre será fijado por el gobierno nacional a través de la Comisión de Regulación de Energía y Gas.</w:t>
      </w:r>
    </w:p>
    <w:p w:rsidR="00401C54" w:rsidRDefault="00401C54" w:rsidP="00401C54">
      <w:pPr>
        <w:tabs>
          <w:tab w:val="left" w:pos="5820"/>
        </w:tabs>
        <w:spacing w:line="360" w:lineRule="auto"/>
        <w:jc w:val="both"/>
        <w:rPr>
          <w:rFonts w:ascii="Arial" w:eastAsia="Arial" w:hAnsi="Arial" w:cs="Arial"/>
        </w:rPr>
      </w:pPr>
      <w:r w:rsidRPr="00401C54">
        <w:rPr>
          <w:rFonts w:ascii="Arial" w:eastAsia="Arial" w:hAnsi="Arial" w:cs="Arial"/>
          <w:b/>
        </w:rPr>
        <w:lastRenderedPageBreak/>
        <w:t xml:space="preserve">Parágrafo: </w:t>
      </w:r>
      <w:r w:rsidRPr="00401C54">
        <w:rPr>
          <w:rFonts w:ascii="Arial" w:eastAsia="Arial" w:hAnsi="Arial" w:cs="Arial"/>
        </w:rPr>
        <w:t>El pago por</w:t>
      </w:r>
      <w:r w:rsidRPr="00401C54">
        <w:rPr>
          <w:rFonts w:ascii="Arial" w:eastAsia="Arial" w:hAnsi="Arial" w:cs="Arial"/>
          <w:b/>
        </w:rPr>
        <w:t xml:space="preserve"> </w:t>
      </w:r>
      <w:r w:rsidRPr="00401C54">
        <w:rPr>
          <w:rFonts w:ascii="Arial" w:eastAsia="Arial" w:hAnsi="Arial" w:cs="Arial"/>
        </w:rPr>
        <w:t xml:space="preserve">la servidumbre permanecerá incluso después de que el concesionario haya retornado a la concesión al estado, en este caso los recursos se destinaran al mantenimiento vial de la ruta afecta. </w:t>
      </w:r>
    </w:p>
    <w:p w:rsidR="005B557B" w:rsidRPr="005B557B" w:rsidRDefault="005B557B" w:rsidP="005B557B">
      <w:pPr>
        <w:pBdr>
          <w:top w:val="nil"/>
          <w:left w:val="nil"/>
          <w:bottom w:val="nil"/>
          <w:right w:val="nil"/>
          <w:between w:val="nil"/>
        </w:pBdr>
        <w:spacing w:line="360" w:lineRule="auto"/>
        <w:jc w:val="both"/>
        <w:rPr>
          <w:rFonts w:ascii="Arial" w:eastAsia="Arial" w:hAnsi="Arial" w:cs="Arial"/>
          <w:lang w:eastAsia="es-ES"/>
        </w:rPr>
      </w:pPr>
      <w:r w:rsidRPr="005B557B">
        <w:rPr>
          <w:rFonts w:ascii="Arial" w:eastAsia="Arial" w:hAnsi="Arial" w:cs="Arial"/>
          <w:b/>
        </w:rPr>
        <w:t>Artículo 6°. Peajes Urbanos y Perimetrales</w:t>
      </w:r>
      <w:r>
        <w:rPr>
          <w:rFonts w:ascii="Arial" w:eastAsia="Arial" w:hAnsi="Arial" w:cs="Arial"/>
          <w:b/>
        </w:rPr>
        <w:t xml:space="preserve">.  </w:t>
      </w:r>
      <w:r w:rsidRPr="005B557B">
        <w:rPr>
          <w:rFonts w:ascii="Arial" w:eastAsia="Arial" w:hAnsi="Arial" w:cs="Arial"/>
          <w:lang w:eastAsia="es-ES"/>
        </w:rPr>
        <w:t xml:space="preserve">una vez cumplidos los tiempos de concesión de peajes situados al interior del perímetro urbano de los municipios y aquellos situados sobre las vías de acceso de las terminales aéreas, no serán renovadas las concesiones salvo fuerza mayor o caso fortuito que amerite la prórroga del contrato de concesión sobre la vía. </w:t>
      </w:r>
      <w:bookmarkStart w:id="0" w:name="_GoBack"/>
      <w:bookmarkEnd w:id="0"/>
    </w:p>
    <w:p w:rsidR="00401C54" w:rsidRPr="00401C54" w:rsidRDefault="00401C54" w:rsidP="00401C54">
      <w:pPr>
        <w:pBdr>
          <w:top w:val="nil"/>
          <w:left w:val="nil"/>
          <w:bottom w:val="nil"/>
          <w:right w:val="nil"/>
          <w:between w:val="nil"/>
        </w:pBdr>
        <w:spacing w:line="360" w:lineRule="auto"/>
        <w:jc w:val="both"/>
        <w:rPr>
          <w:rFonts w:ascii="Arial" w:eastAsia="Arial" w:hAnsi="Arial" w:cs="Arial"/>
          <w:color w:val="000000"/>
        </w:rPr>
      </w:pPr>
      <w:r w:rsidRPr="00401C54">
        <w:rPr>
          <w:rFonts w:ascii="Arial" w:eastAsia="Arial" w:hAnsi="Arial" w:cs="Arial"/>
          <w:b/>
          <w:color w:val="000000"/>
        </w:rPr>
        <w:t xml:space="preserve">Artículo </w:t>
      </w:r>
      <w:r w:rsidR="005B557B">
        <w:rPr>
          <w:rFonts w:ascii="Arial" w:eastAsia="Arial" w:hAnsi="Arial" w:cs="Arial"/>
          <w:b/>
        </w:rPr>
        <w:t>7</w:t>
      </w:r>
      <w:r>
        <w:rPr>
          <w:rFonts w:ascii="Arial" w:eastAsia="Arial" w:hAnsi="Arial" w:cs="Arial"/>
          <w:b/>
        </w:rPr>
        <w:t>°.</w:t>
      </w:r>
      <w:r w:rsidRPr="00401C54">
        <w:rPr>
          <w:rFonts w:ascii="Arial" w:eastAsia="Arial" w:hAnsi="Arial" w:cs="Arial"/>
          <w:b/>
          <w:color w:val="000000"/>
        </w:rPr>
        <w:t xml:space="preserve"> Vigencias y derogatorias.</w:t>
      </w:r>
      <w:r w:rsidRPr="00401C54">
        <w:rPr>
          <w:rFonts w:ascii="Arial" w:eastAsia="Arial" w:hAnsi="Arial" w:cs="Arial"/>
          <w:color w:val="000000"/>
        </w:rPr>
        <w:t xml:space="preserve"> La presente ley rige a partir de su promulgación y deroga todas las disposiciones que le sean contrarias.</w:t>
      </w:r>
    </w:p>
    <w:p w:rsidR="00401C54" w:rsidRPr="00401C54" w:rsidRDefault="00401C54" w:rsidP="003436C2">
      <w:pPr>
        <w:spacing w:after="0"/>
        <w:rPr>
          <w:rFonts w:ascii="Arial" w:eastAsia="Arial" w:hAnsi="Arial" w:cs="Arial"/>
          <w:b/>
        </w:rPr>
      </w:pPr>
    </w:p>
    <w:p w:rsidR="00401C54" w:rsidRPr="00401C54" w:rsidRDefault="00401C54" w:rsidP="003436C2">
      <w:pPr>
        <w:spacing w:after="0"/>
        <w:rPr>
          <w:rFonts w:ascii="Arial" w:eastAsiaTheme="minorHAnsi" w:hAnsi="Arial" w:cs="Arial"/>
          <w:b/>
          <w:color w:val="000000"/>
          <w:lang w:eastAsia="en-US"/>
        </w:rPr>
      </w:pPr>
    </w:p>
    <w:p w:rsidR="00401C54" w:rsidRPr="00401C54" w:rsidRDefault="00401C54" w:rsidP="003436C2">
      <w:pPr>
        <w:spacing w:after="0"/>
        <w:rPr>
          <w:rFonts w:ascii="Arial" w:eastAsiaTheme="minorHAnsi" w:hAnsi="Arial" w:cs="Arial"/>
          <w:b/>
          <w:color w:val="000000"/>
          <w:lang w:eastAsia="en-US"/>
        </w:rPr>
      </w:pPr>
    </w:p>
    <w:p w:rsidR="00401C54" w:rsidRPr="00401C54" w:rsidRDefault="00401C54" w:rsidP="003436C2">
      <w:pPr>
        <w:spacing w:after="0"/>
        <w:rPr>
          <w:rFonts w:ascii="Arial" w:eastAsiaTheme="minorHAnsi" w:hAnsi="Arial" w:cs="Arial"/>
          <w:b/>
          <w:color w:val="000000"/>
          <w:lang w:eastAsia="en-US"/>
        </w:rPr>
      </w:pPr>
    </w:p>
    <w:p w:rsidR="00401C54" w:rsidRPr="00401C54" w:rsidRDefault="00401C54" w:rsidP="003436C2">
      <w:pPr>
        <w:spacing w:after="0"/>
        <w:rPr>
          <w:rFonts w:ascii="Arial" w:eastAsiaTheme="minorHAnsi" w:hAnsi="Arial" w:cs="Arial"/>
          <w:b/>
          <w:color w:val="000000"/>
          <w:lang w:eastAsia="en-US"/>
        </w:rPr>
      </w:pPr>
    </w:p>
    <w:p w:rsidR="003436C2" w:rsidRPr="00401C54" w:rsidRDefault="003436C2" w:rsidP="003436C2">
      <w:pPr>
        <w:spacing w:after="0"/>
        <w:rPr>
          <w:rFonts w:ascii="Arial" w:eastAsiaTheme="minorHAnsi" w:hAnsi="Arial" w:cs="Arial"/>
          <w:b/>
          <w:color w:val="000000"/>
          <w:lang w:eastAsia="en-US"/>
        </w:rPr>
      </w:pPr>
      <w:r w:rsidRPr="00401C54">
        <w:rPr>
          <w:rFonts w:ascii="Arial" w:eastAsiaTheme="minorHAnsi" w:hAnsi="Arial" w:cs="Arial"/>
          <w:b/>
          <w:color w:val="000000"/>
          <w:lang w:eastAsia="en-US"/>
        </w:rPr>
        <w:t>FABIÁN DÍAZ PLATA</w:t>
      </w:r>
    </w:p>
    <w:p w:rsidR="003436C2" w:rsidRPr="00401C54" w:rsidRDefault="003436C2" w:rsidP="003436C2">
      <w:pPr>
        <w:spacing w:after="0"/>
        <w:rPr>
          <w:rFonts w:ascii="Arial" w:eastAsiaTheme="minorHAnsi" w:hAnsi="Arial" w:cs="Arial"/>
          <w:color w:val="000000"/>
          <w:lang w:eastAsia="en-US"/>
        </w:rPr>
      </w:pPr>
      <w:r w:rsidRPr="00401C54">
        <w:rPr>
          <w:rFonts w:ascii="Arial" w:eastAsiaTheme="minorHAnsi" w:hAnsi="Arial" w:cs="Arial"/>
          <w:color w:val="000000"/>
          <w:lang w:eastAsia="en-US"/>
        </w:rPr>
        <w:t>Representante a la Cámara</w:t>
      </w:r>
    </w:p>
    <w:p w:rsidR="00C5482E" w:rsidRPr="00401C54" w:rsidRDefault="003436C2" w:rsidP="003436C2">
      <w:pPr>
        <w:rPr>
          <w:rFonts w:ascii="Arial" w:eastAsia="Arial" w:hAnsi="Arial" w:cs="Arial"/>
          <w:b/>
        </w:rPr>
      </w:pPr>
      <w:r w:rsidRPr="00401C54">
        <w:rPr>
          <w:rFonts w:ascii="Arial" w:eastAsiaTheme="minorHAnsi" w:hAnsi="Arial" w:cs="Arial"/>
          <w:color w:val="000000"/>
          <w:lang w:eastAsia="en-US"/>
        </w:rPr>
        <w:t>Departamento de Santander</w:t>
      </w:r>
      <w:r w:rsidRPr="00401C54">
        <w:rPr>
          <w:rFonts w:ascii="Arial" w:eastAsia="Arial" w:hAnsi="Arial" w:cs="Arial"/>
          <w:b/>
        </w:rPr>
        <w:t xml:space="preserve"> </w:t>
      </w:r>
      <w:r w:rsidR="00C5482E" w:rsidRPr="00401C54">
        <w:rPr>
          <w:rFonts w:ascii="Arial" w:eastAsia="Arial" w:hAnsi="Arial" w:cs="Arial"/>
          <w:b/>
        </w:rPr>
        <w:br w:type="page"/>
      </w:r>
    </w:p>
    <w:p w:rsidR="00C5482E" w:rsidRPr="00401C54" w:rsidRDefault="00C5482E" w:rsidP="00C5482E">
      <w:pPr>
        <w:spacing w:line="360" w:lineRule="auto"/>
        <w:jc w:val="both"/>
        <w:rPr>
          <w:rFonts w:ascii="Arial" w:eastAsia="Arial" w:hAnsi="Arial" w:cs="Arial"/>
          <w:b/>
        </w:rPr>
      </w:pPr>
    </w:p>
    <w:p w:rsidR="00A003BC" w:rsidRPr="00401C54" w:rsidRDefault="00A003BC" w:rsidP="00A003BC">
      <w:pPr>
        <w:spacing w:line="360" w:lineRule="auto"/>
        <w:jc w:val="center"/>
        <w:rPr>
          <w:rFonts w:ascii="Arial" w:eastAsia="Arial" w:hAnsi="Arial" w:cs="Arial"/>
          <w:b/>
        </w:rPr>
      </w:pPr>
      <w:r w:rsidRPr="00401C54">
        <w:rPr>
          <w:rFonts w:ascii="Arial" w:eastAsia="Arial" w:hAnsi="Arial" w:cs="Arial"/>
          <w:b/>
        </w:rPr>
        <w:t>EXPOSICIÓN DE MOTIVOS</w:t>
      </w:r>
    </w:p>
    <w:p w:rsidR="00C5482E" w:rsidRPr="00401C54" w:rsidRDefault="00C5482E" w:rsidP="00A003BC">
      <w:pPr>
        <w:spacing w:line="360" w:lineRule="auto"/>
        <w:jc w:val="center"/>
        <w:rPr>
          <w:rFonts w:ascii="Arial" w:eastAsia="Arial" w:hAnsi="Arial" w:cs="Arial"/>
          <w:b/>
        </w:rPr>
      </w:pPr>
      <w:r w:rsidRPr="00401C54">
        <w:rPr>
          <w:rFonts w:ascii="Arial" w:eastAsia="Arial" w:hAnsi="Arial" w:cs="Arial"/>
          <w:b/>
        </w:rPr>
        <w:t xml:space="preserve">PROYECTO DE LEY No ____ </w:t>
      </w:r>
      <w:r w:rsidR="00A003BC" w:rsidRPr="00401C54">
        <w:rPr>
          <w:rFonts w:ascii="Arial" w:eastAsia="Arial" w:hAnsi="Arial" w:cs="Arial"/>
          <w:b/>
        </w:rPr>
        <w:t xml:space="preserve"> DE 2019 </w:t>
      </w:r>
      <w:r w:rsidRPr="00401C54">
        <w:rPr>
          <w:rFonts w:ascii="Arial" w:eastAsia="Arial" w:hAnsi="Arial" w:cs="Arial"/>
          <w:b/>
        </w:rPr>
        <w:t>Cámara</w:t>
      </w:r>
    </w:p>
    <w:p w:rsidR="00383616" w:rsidRPr="00401C54" w:rsidRDefault="00383616" w:rsidP="00383616">
      <w:pPr>
        <w:spacing w:line="360" w:lineRule="auto"/>
        <w:ind w:firstLine="708"/>
        <w:jc w:val="center"/>
        <w:rPr>
          <w:rFonts w:ascii="Arial" w:eastAsia="Arial" w:hAnsi="Arial" w:cs="Arial"/>
        </w:rPr>
      </w:pPr>
      <w:r w:rsidRPr="00401C54">
        <w:rPr>
          <w:rFonts w:ascii="Arial" w:eastAsia="Arial" w:hAnsi="Arial" w:cs="Arial"/>
        </w:rPr>
        <w:t>“Por medio del cual se dictan medidas en relación con los peajes”</w:t>
      </w:r>
    </w:p>
    <w:p w:rsidR="00B6166B" w:rsidRPr="00401C54" w:rsidRDefault="00C5482E" w:rsidP="00B6166B">
      <w:pPr>
        <w:spacing w:line="360" w:lineRule="auto"/>
        <w:jc w:val="center"/>
        <w:rPr>
          <w:rFonts w:ascii="Arial" w:eastAsia="Arial" w:hAnsi="Arial" w:cs="Arial"/>
          <w:b/>
        </w:rPr>
      </w:pPr>
      <w:r w:rsidRPr="00401C54">
        <w:rPr>
          <w:rFonts w:ascii="Arial" w:eastAsia="Arial" w:hAnsi="Arial" w:cs="Arial"/>
        </w:rPr>
        <w:t xml:space="preserve"> </w:t>
      </w:r>
      <w:r w:rsidR="00B6166B" w:rsidRPr="00401C54">
        <w:rPr>
          <w:rFonts w:ascii="Arial" w:eastAsia="Arial" w:hAnsi="Arial" w:cs="Arial"/>
          <w:b/>
        </w:rPr>
        <w:t>EXPOSICIÓN DE MOTIVOS</w:t>
      </w:r>
    </w:p>
    <w:p w:rsidR="00B6166B" w:rsidRPr="00401C54" w:rsidRDefault="00B6166B" w:rsidP="00383616">
      <w:pPr>
        <w:spacing w:line="360" w:lineRule="auto"/>
        <w:jc w:val="both"/>
        <w:rPr>
          <w:rFonts w:ascii="Arial" w:eastAsia="Arial" w:hAnsi="Arial" w:cs="Arial"/>
        </w:rPr>
      </w:pPr>
      <w:r w:rsidRPr="00401C54">
        <w:rPr>
          <w:rFonts w:ascii="Arial" w:eastAsia="Arial" w:hAnsi="Arial" w:cs="Arial"/>
        </w:rPr>
        <w:t xml:space="preserve">El presente proyecto de ley recoge la iniciativa planteada en el proyecto de ley 322 de </w:t>
      </w:r>
      <w:r w:rsidR="00383616" w:rsidRPr="00401C54">
        <w:rPr>
          <w:rFonts w:ascii="Arial" w:eastAsia="Arial" w:hAnsi="Arial" w:cs="Arial"/>
        </w:rPr>
        <w:t>2019,</w:t>
      </w:r>
      <w:r w:rsidRPr="00401C54">
        <w:rPr>
          <w:rFonts w:ascii="Arial" w:eastAsia="Arial" w:hAnsi="Arial" w:cs="Arial"/>
        </w:rPr>
        <w:t xml:space="preserve"> </w:t>
      </w:r>
      <w:r w:rsidR="00383616" w:rsidRPr="00401C54">
        <w:rPr>
          <w:rFonts w:ascii="Arial" w:eastAsia="Arial" w:hAnsi="Arial" w:cs="Arial"/>
        </w:rPr>
        <w:t>así</w:t>
      </w:r>
      <w:r w:rsidRPr="00401C54">
        <w:rPr>
          <w:rFonts w:ascii="Arial" w:eastAsia="Arial" w:hAnsi="Arial" w:cs="Arial"/>
        </w:rPr>
        <w:t xml:space="preserve"> como las discusiones y consensos surtidos, propone una estrategia básica para hacer compatible el desarrollo de infraestructura concesionada y el mínimo vital de las poblaciones en sus áreas de impacto </w:t>
      </w:r>
    </w:p>
    <w:p w:rsidR="00B6166B" w:rsidRPr="00401C54" w:rsidRDefault="00383616" w:rsidP="00B6166B">
      <w:pPr>
        <w:spacing w:after="0" w:line="360" w:lineRule="auto"/>
        <w:jc w:val="both"/>
        <w:rPr>
          <w:rFonts w:ascii="Arial" w:eastAsia="Arial" w:hAnsi="Arial" w:cs="Arial"/>
        </w:rPr>
      </w:pPr>
      <w:r w:rsidRPr="00401C54">
        <w:rPr>
          <w:rFonts w:ascii="Arial" w:eastAsia="Arial" w:hAnsi="Arial" w:cs="Arial"/>
        </w:rPr>
        <w:t>Comprende</w:t>
      </w:r>
      <w:r w:rsidR="00B6166B" w:rsidRPr="00401C54">
        <w:rPr>
          <w:rFonts w:ascii="Arial" w:eastAsia="Arial" w:hAnsi="Arial" w:cs="Arial"/>
        </w:rPr>
        <w:t xml:space="preserve"> en este sentido, el presente proyecto de ley, que los peajes se constituyen en la forma como el estado busca la financiación suficiente a través de una tarifa por el uso de las vías para lograr mantener y conservar las mismas en un estado funcional. La expresión normativa de esta finalidad en el ordenamiento colombiano es la ley 105 de 1993, que ha sufrido múltiples modificaciones dentro de la que destaca la modificación contenida en la ley 787 de 2002. Este corpus normativo contiene las disposiciones elementales del transporte en el país, al igual que las disposiciones en materia de peajes y tarifas en el territorio Colombiano.</w:t>
      </w:r>
    </w:p>
    <w:p w:rsidR="00B6166B" w:rsidRPr="00401C54" w:rsidRDefault="00B6166B" w:rsidP="00B6166B">
      <w:pPr>
        <w:spacing w:after="0" w:line="360" w:lineRule="auto"/>
        <w:jc w:val="both"/>
        <w:rPr>
          <w:rFonts w:ascii="Arial" w:eastAsia="Arial" w:hAnsi="Arial" w:cs="Arial"/>
        </w:rPr>
      </w:pPr>
    </w:p>
    <w:p w:rsidR="00B6166B" w:rsidRPr="00401C54" w:rsidRDefault="00B6166B" w:rsidP="00B6166B">
      <w:pPr>
        <w:spacing w:line="360" w:lineRule="auto"/>
        <w:jc w:val="both"/>
        <w:rPr>
          <w:rFonts w:ascii="Arial" w:eastAsia="Arial" w:hAnsi="Arial" w:cs="Arial"/>
        </w:rPr>
      </w:pPr>
      <w:r w:rsidRPr="00401C54">
        <w:rPr>
          <w:rFonts w:ascii="Arial" w:eastAsia="Arial" w:hAnsi="Arial" w:cs="Arial"/>
        </w:rPr>
        <w:t xml:space="preserve">La constitución política colombiana en su </w:t>
      </w:r>
      <w:r w:rsidR="00383616" w:rsidRPr="00401C54">
        <w:rPr>
          <w:rFonts w:ascii="Arial" w:eastAsia="Arial" w:hAnsi="Arial" w:cs="Arial"/>
        </w:rPr>
        <w:t>artículo</w:t>
      </w:r>
      <w:r w:rsidRPr="00401C54">
        <w:rPr>
          <w:rFonts w:ascii="Arial" w:eastAsia="Arial" w:hAnsi="Arial" w:cs="Arial"/>
        </w:rPr>
        <w:t xml:space="preserve"> 338 y la precitada ley categorizan los peajes como un instrumento de financiación, sin reservar su competencia al gobierno nacional, facultando al mismo tiempo a departamentos y municipios a la imposición de los mismos. Por otro lado, la destinación de los recursos obtenidos a través de los </w:t>
      </w:r>
      <w:r w:rsidR="00383616" w:rsidRPr="00401C54">
        <w:rPr>
          <w:rFonts w:ascii="Arial" w:eastAsia="Arial" w:hAnsi="Arial" w:cs="Arial"/>
        </w:rPr>
        <w:t>peajes</w:t>
      </w:r>
      <w:r w:rsidRPr="00401C54">
        <w:rPr>
          <w:rFonts w:ascii="Arial" w:eastAsia="Arial" w:hAnsi="Arial" w:cs="Arial"/>
        </w:rPr>
        <w:t xml:space="preserve"> fue reglamentado a través de la ley 787 de 2002, que faculta </w:t>
      </w:r>
      <w:r w:rsidR="00383616" w:rsidRPr="00401C54">
        <w:rPr>
          <w:rFonts w:ascii="Arial" w:eastAsia="Arial" w:hAnsi="Arial" w:cs="Arial"/>
        </w:rPr>
        <w:t xml:space="preserve">a la nación a fijar la tarifa y </w:t>
      </w:r>
      <w:r w:rsidRPr="00401C54">
        <w:rPr>
          <w:rFonts w:ascii="Arial" w:eastAsia="Arial" w:hAnsi="Arial" w:cs="Arial"/>
        </w:rPr>
        <w:t>la obliga a destinar estos recursos a la inversión en transporte terrestre.</w:t>
      </w:r>
    </w:p>
    <w:p w:rsidR="00B6166B" w:rsidRPr="00401C54" w:rsidRDefault="00B6166B" w:rsidP="00B6166B">
      <w:pPr>
        <w:spacing w:after="0" w:line="360" w:lineRule="auto"/>
        <w:jc w:val="both"/>
        <w:rPr>
          <w:rFonts w:ascii="Arial" w:eastAsia="Arial" w:hAnsi="Arial" w:cs="Arial"/>
        </w:rPr>
      </w:pPr>
      <w:r w:rsidRPr="00401C54">
        <w:rPr>
          <w:rFonts w:ascii="Arial" w:eastAsia="Arial" w:hAnsi="Arial" w:cs="Arial"/>
        </w:rPr>
        <w:t xml:space="preserve">Sin embargo la finalidad técnica de los peajes como apuesta del desarrollo de infraestructura vial enfrenta serios retos a la hora de compaginarse con las necesidades de los pobladores de los territorios atravesados por las concesiones viales, en un informe presentado por </w:t>
      </w:r>
      <w:proofErr w:type="spellStart"/>
      <w:r w:rsidRPr="00401C54">
        <w:rPr>
          <w:rFonts w:ascii="Arial" w:eastAsia="Arial" w:hAnsi="Arial" w:cs="Arial"/>
        </w:rPr>
        <w:t>Fedesarrollo</w:t>
      </w:r>
      <w:proofErr w:type="spellEnd"/>
      <w:r w:rsidRPr="00401C54">
        <w:rPr>
          <w:rFonts w:ascii="Arial" w:eastAsia="Arial" w:hAnsi="Arial" w:cs="Arial"/>
        </w:rPr>
        <w:t xml:space="preserve"> para el año 2013 se evidenciaba que  el 80% de las carreteras del  país están en un estado que va de malo a regular (el 44 % del total de red vial se </w:t>
      </w:r>
      <w:r w:rsidRPr="00401C54">
        <w:rPr>
          <w:rFonts w:ascii="Arial" w:eastAsia="Arial" w:hAnsi="Arial" w:cs="Arial"/>
        </w:rPr>
        <w:lastRenderedPageBreak/>
        <w:t>encuentra en un estado malo) y sólo el 15% de las carreteras del país están pavimentadas, en comparación con el promedio de la OCDE del 75%</w:t>
      </w:r>
      <w:r w:rsidRPr="00401C54">
        <w:rPr>
          <w:rFonts w:ascii="Arial" w:eastAsia="Arial" w:hAnsi="Arial" w:cs="Arial"/>
          <w:vertAlign w:val="superscript"/>
        </w:rPr>
        <w:footnoteReference w:id="1"/>
      </w:r>
    </w:p>
    <w:p w:rsidR="00B6166B" w:rsidRPr="00401C54" w:rsidRDefault="00B6166B" w:rsidP="00B6166B">
      <w:pPr>
        <w:spacing w:line="360" w:lineRule="auto"/>
        <w:jc w:val="both"/>
        <w:rPr>
          <w:rFonts w:ascii="Arial" w:eastAsia="Arial" w:hAnsi="Arial" w:cs="Arial"/>
        </w:rPr>
      </w:pPr>
      <w:r w:rsidRPr="00401C54">
        <w:rPr>
          <w:rFonts w:ascii="Arial" w:eastAsia="Arial" w:hAnsi="Arial" w:cs="Arial"/>
        </w:rPr>
        <w:t>En el derecho internacional encontramos como coincidencia en materia regulatoria el requisito de cobros diferenciales y concurrencia en el pago de los mismos, países como China</w:t>
      </w:r>
      <w:r w:rsidRPr="00401C54">
        <w:rPr>
          <w:rFonts w:ascii="Arial" w:eastAsia="Arial" w:hAnsi="Arial" w:cs="Arial"/>
          <w:vertAlign w:val="superscript"/>
        </w:rPr>
        <w:footnoteReference w:id="2"/>
      </w:r>
      <w:r w:rsidRPr="00401C54">
        <w:rPr>
          <w:rFonts w:ascii="Arial" w:eastAsia="Arial" w:hAnsi="Arial" w:cs="Arial"/>
        </w:rPr>
        <w:t>, Canadá</w:t>
      </w:r>
      <w:r w:rsidRPr="00401C54">
        <w:rPr>
          <w:rFonts w:ascii="Arial" w:eastAsia="Arial" w:hAnsi="Arial" w:cs="Arial"/>
          <w:vertAlign w:val="superscript"/>
        </w:rPr>
        <w:footnoteReference w:id="3"/>
      </w:r>
      <w:r w:rsidRPr="00401C54">
        <w:rPr>
          <w:rFonts w:ascii="Arial" w:eastAsia="Arial" w:hAnsi="Arial" w:cs="Arial"/>
        </w:rPr>
        <w:t xml:space="preserve"> y Austria</w:t>
      </w:r>
      <w:r w:rsidRPr="00401C54">
        <w:rPr>
          <w:rFonts w:ascii="Arial" w:eastAsia="Arial" w:hAnsi="Arial" w:cs="Arial"/>
          <w:vertAlign w:val="superscript"/>
        </w:rPr>
        <w:footnoteReference w:id="4"/>
      </w:r>
      <w:r w:rsidRPr="00401C54">
        <w:rPr>
          <w:rFonts w:ascii="Arial" w:eastAsia="Arial" w:hAnsi="Arial" w:cs="Arial"/>
        </w:rPr>
        <w:t xml:space="preserve">, presentan características comunes relevantes al ordenamiento colombiano, una de ellas es que la estructuración de su regulación tarifaria tiene cimientos normativos legales, la segunda es el establecimiento de cobros diferenciales más allá del tipo de vehículo, coordinado con la matriz productiva nacional, en algunos casos en forma de “ </w:t>
      </w:r>
      <w:proofErr w:type="spellStart"/>
      <w:r w:rsidRPr="00401C54">
        <w:rPr>
          <w:rFonts w:ascii="Arial" w:eastAsia="Arial" w:hAnsi="Arial" w:cs="Arial"/>
        </w:rPr>
        <w:t>green</w:t>
      </w:r>
      <w:proofErr w:type="spellEnd"/>
      <w:r w:rsidRPr="00401C54">
        <w:rPr>
          <w:rFonts w:ascii="Arial" w:eastAsia="Arial" w:hAnsi="Arial" w:cs="Arial"/>
        </w:rPr>
        <w:t xml:space="preserve"> routes”.</w:t>
      </w:r>
    </w:p>
    <w:p w:rsidR="00B6166B" w:rsidRPr="00401C54" w:rsidRDefault="00B6166B" w:rsidP="00B6166B">
      <w:pPr>
        <w:spacing w:line="360" w:lineRule="auto"/>
        <w:jc w:val="both"/>
        <w:rPr>
          <w:rFonts w:ascii="Arial" w:eastAsia="Arial" w:hAnsi="Arial" w:cs="Arial"/>
        </w:rPr>
      </w:pPr>
      <w:r w:rsidRPr="00401C54">
        <w:rPr>
          <w:rFonts w:ascii="Arial" w:eastAsia="Arial" w:hAnsi="Arial" w:cs="Arial"/>
        </w:rPr>
        <w:t>Otra de las particularidades es la consideración de los costos reales de operación del servicio como elemento de suelo tarifario, vemos que no se trata entonces, solo de mejorar el estado vial, además este desarrollo debe impactar de forma positiva sobre los habitantes de una región, pues nada ganamos al desarrollar una infraestructura vial que no implica desarrollo económico en su entorno de afectación, si no que encarece los precios de vida y producción de las zonas aledañas.</w:t>
      </w:r>
    </w:p>
    <w:p w:rsidR="00B6166B" w:rsidRPr="00401C54" w:rsidRDefault="00B6166B" w:rsidP="00B6166B">
      <w:pPr>
        <w:spacing w:line="360" w:lineRule="auto"/>
        <w:jc w:val="both"/>
        <w:rPr>
          <w:rFonts w:ascii="Arial" w:eastAsia="Arial" w:hAnsi="Arial" w:cs="Arial"/>
        </w:rPr>
      </w:pPr>
      <w:r w:rsidRPr="00401C54">
        <w:rPr>
          <w:rFonts w:ascii="Arial" w:eastAsia="Arial" w:hAnsi="Arial" w:cs="Arial"/>
        </w:rPr>
        <w:t xml:space="preserve"> Entre más peajes instalados en un trayecto, mayor es el costo por kilómetro y hay desproporción entre el número Kilómetros y los costos de los peajes en Colombia. Lo que implica además un mayor </w:t>
      </w:r>
      <w:r w:rsidR="00B95A85" w:rsidRPr="00401C54">
        <w:rPr>
          <w:rFonts w:ascii="Arial" w:eastAsia="Arial" w:hAnsi="Arial" w:cs="Arial"/>
        </w:rPr>
        <w:t>número</w:t>
      </w:r>
      <w:r w:rsidRPr="00401C54">
        <w:rPr>
          <w:rFonts w:ascii="Arial" w:eastAsia="Arial" w:hAnsi="Arial" w:cs="Arial"/>
        </w:rPr>
        <w:t xml:space="preserve"> de renegociaciones de contratos de concesión lo que consume capacidad administrativa y burocrática, Colombia destaca en la región por el número de procesos de renegociación de las condiciones de sus contratos de concesión, como se muestra en la siguiente gráfica: </w:t>
      </w:r>
    </w:p>
    <w:p w:rsidR="00B6166B" w:rsidRPr="00401C54" w:rsidRDefault="00B6166B" w:rsidP="00B6166B">
      <w:pPr>
        <w:spacing w:line="360" w:lineRule="auto"/>
        <w:jc w:val="both"/>
        <w:rPr>
          <w:rFonts w:ascii="Arial" w:eastAsia="Arial" w:hAnsi="Arial" w:cs="Arial"/>
        </w:rPr>
      </w:pPr>
      <w:r w:rsidRPr="00401C54">
        <w:rPr>
          <w:rFonts w:ascii="Arial" w:eastAsia="Arial" w:hAnsi="Arial" w:cs="Arial"/>
          <w:noProof/>
          <w:lang w:val="es-ES" w:eastAsia="es-ES"/>
        </w:rPr>
        <w:lastRenderedPageBreak/>
        <w:drawing>
          <wp:inline distT="0" distB="0" distL="0" distR="0" wp14:anchorId="10FAA326" wp14:editId="7A51A98A">
            <wp:extent cx="5934338" cy="348948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25967" t="39846" r="28717" b="12760"/>
                    <a:stretch>
                      <a:fillRect/>
                    </a:stretch>
                  </pic:blipFill>
                  <pic:spPr>
                    <a:xfrm>
                      <a:off x="0" y="0"/>
                      <a:ext cx="5934338" cy="3489480"/>
                    </a:xfrm>
                    <a:prstGeom prst="rect">
                      <a:avLst/>
                    </a:prstGeom>
                    <a:ln/>
                  </pic:spPr>
                </pic:pic>
              </a:graphicData>
            </a:graphic>
          </wp:inline>
        </w:drawing>
      </w:r>
    </w:p>
    <w:p w:rsidR="00B6166B" w:rsidRPr="00401C54" w:rsidRDefault="00B6166B" w:rsidP="00B6166B">
      <w:pPr>
        <w:spacing w:before="280" w:after="280" w:line="360" w:lineRule="auto"/>
        <w:jc w:val="both"/>
        <w:rPr>
          <w:rFonts w:ascii="Arial" w:eastAsia="Arial" w:hAnsi="Arial" w:cs="Arial"/>
        </w:rPr>
      </w:pPr>
      <w:r w:rsidRPr="00401C54">
        <w:rPr>
          <w:rFonts w:ascii="Arial" w:eastAsia="Arial" w:hAnsi="Arial" w:cs="Arial"/>
        </w:rPr>
        <w:t>Los proceso frecuentes de renegociación están asociados a falta de claridad en las normas que fijan el precio de los mismos, generando un espectro de inseguridad normativa para concesionarios y usuarios, el presente proyecto pretende brindar una línea normativa base que otorgue seguridad jurídica a los diferentes actores.</w:t>
      </w:r>
    </w:p>
    <w:p w:rsidR="00B6166B" w:rsidRPr="00401C54" w:rsidRDefault="00B6166B" w:rsidP="00B6166B">
      <w:pPr>
        <w:spacing w:before="280" w:after="280" w:line="360" w:lineRule="auto"/>
        <w:jc w:val="both"/>
        <w:rPr>
          <w:rFonts w:ascii="Arial" w:eastAsia="Arial" w:hAnsi="Arial" w:cs="Arial"/>
        </w:rPr>
      </w:pPr>
      <w:r w:rsidRPr="00401C54">
        <w:rPr>
          <w:rFonts w:ascii="Arial" w:eastAsia="Arial" w:hAnsi="Arial" w:cs="Arial"/>
        </w:rPr>
        <w:t xml:space="preserve">En el año 2009 en un estudio conducido por la CEPAL al analizar el caso de Argentina señalo que:  </w:t>
      </w:r>
    </w:p>
    <w:p w:rsidR="00B6166B" w:rsidRPr="00401C54" w:rsidRDefault="00B6166B" w:rsidP="00B6166B">
      <w:pPr>
        <w:spacing w:after="0" w:line="240" w:lineRule="auto"/>
        <w:ind w:left="708"/>
        <w:jc w:val="both"/>
        <w:rPr>
          <w:rFonts w:ascii="Arial" w:eastAsia="Arial" w:hAnsi="Arial" w:cs="Arial"/>
        </w:rPr>
      </w:pPr>
      <w:r w:rsidRPr="00401C54">
        <w:rPr>
          <w:rFonts w:ascii="Arial" w:eastAsia="Arial" w:hAnsi="Arial" w:cs="Arial"/>
        </w:rPr>
        <w:t xml:space="preserve">“uno de los problemas intrínsecos que afectan al sistema de concesiones viales de Argentina es la inestabilidad regulatoria y política. </w:t>
      </w:r>
      <w:r w:rsidRPr="00401C54">
        <w:rPr>
          <w:rFonts w:ascii="Arial" w:eastAsia="Arial" w:hAnsi="Arial" w:cs="Arial"/>
          <w:b/>
          <w:u w:val="single"/>
        </w:rPr>
        <w:t>La sucesión de modificaciones normativas realizadas por medio de decretos y no mediante leyes, que precisan el aval parlamentario y, que, a su vez, son más difíciles de alterar ― brinda un frágil marco regulatorio, que afecta tanto a los concesionarios, inversores y usuarios, como al equilibrio y credibilidad del sistema en su conjunto (…)</w:t>
      </w:r>
      <w:r w:rsidRPr="00401C54">
        <w:rPr>
          <w:rFonts w:ascii="Arial" w:eastAsia="Arial" w:hAnsi="Arial" w:cs="Arial"/>
        </w:rPr>
        <w:t xml:space="preserve">. La estructura normativa responde a las necesidades del gobierno de turno y las modificaciones que se presentan se ven más influenciadas por la política electoral y los lobbies de grupos de influencia, que por los requerimientos </w:t>
      </w:r>
    </w:p>
    <w:p w:rsidR="00B6166B" w:rsidRPr="00401C54" w:rsidRDefault="00B6166B" w:rsidP="00B6166B">
      <w:pPr>
        <w:spacing w:after="0" w:line="240" w:lineRule="auto"/>
        <w:ind w:left="708"/>
        <w:jc w:val="both"/>
        <w:rPr>
          <w:rFonts w:ascii="Arial" w:eastAsia="Arial" w:hAnsi="Arial" w:cs="Arial"/>
        </w:rPr>
      </w:pPr>
      <w:proofErr w:type="gramStart"/>
      <w:r w:rsidRPr="00401C54">
        <w:rPr>
          <w:rFonts w:ascii="Arial" w:eastAsia="Arial" w:hAnsi="Arial" w:cs="Arial"/>
        </w:rPr>
        <w:t>globales</w:t>
      </w:r>
      <w:proofErr w:type="gramEnd"/>
      <w:r w:rsidRPr="00401C54">
        <w:rPr>
          <w:rFonts w:ascii="Arial" w:eastAsia="Arial" w:hAnsi="Arial" w:cs="Arial"/>
        </w:rPr>
        <w:t xml:space="preserve"> del sector vial. El desafío consiste en alcanzar un marco legal que garantice mayor continuidad jurídica y estabilidad al sistema”. (</w:t>
      </w:r>
      <w:proofErr w:type="gramStart"/>
      <w:r w:rsidRPr="00401C54">
        <w:rPr>
          <w:rFonts w:ascii="Arial" w:eastAsia="Arial" w:hAnsi="Arial" w:cs="Arial"/>
        </w:rPr>
        <w:t>CEPAL ,</w:t>
      </w:r>
      <w:proofErr w:type="gramEnd"/>
      <w:r w:rsidRPr="00401C54">
        <w:rPr>
          <w:rFonts w:ascii="Arial" w:eastAsia="Arial" w:hAnsi="Arial" w:cs="Arial"/>
        </w:rPr>
        <w:t xml:space="preserve"> 2009 ).</w:t>
      </w:r>
    </w:p>
    <w:p w:rsidR="00B6166B" w:rsidRPr="00401C54" w:rsidRDefault="00B6166B" w:rsidP="00B6166B">
      <w:pPr>
        <w:spacing w:after="0" w:line="240" w:lineRule="auto"/>
        <w:jc w:val="both"/>
        <w:rPr>
          <w:rFonts w:ascii="Arial" w:eastAsia="Arial" w:hAnsi="Arial" w:cs="Arial"/>
        </w:rPr>
      </w:pPr>
    </w:p>
    <w:p w:rsidR="00B6166B" w:rsidRPr="00401C54" w:rsidRDefault="00B6166B" w:rsidP="00B6166B">
      <w:pPr>
        <w:spacing w:after="0" w:line="240" w:lineRule="auto"/>
        <w:jc w:val="both"/>
        <w:rPr>
          <w:rFonts w:ascii="Arial" w:eastAsia="Arial" w:hAnsi="Arial" w:cs="Arial"/>
          <w:b/>
        </w:rPr>
      </w:pPr>
      <w:r w:rsidRPr="00401C54">
        <w:rPr>
          <w:rFonts w:ascii="Arial" w:eastAsia="Arial" w:hAnsi="Arial" w:cs="Arial"/>
          <w:b/>
        </w:rPr>
        <w:t>COSTOS DE PEAJES ENCOLOMBIA</w:t>
      </w:r>
    </w:p>
    <w:p w:rsidR="00B6166B" w:rsidRPr="00401C54" w:rsidRDefault="00B6166B" w:rsidP="00B6166B">
      <w:pPr>
        <w:spacing w:after="0" w:line="240" w:lineRule="auto"/>
        <w:jc w:val="both"/>
        <w:rPr>
          <w:rFonts w:ascii="Arial" w:eastAsia="Arial" w:hAnsi="Arial" w:cs="Arial"/>
        </w:rPr>
      </w:pPr>
    </w:p>
    <w:p w:rsidR="00B6166B" w:rsidRPr="00401C54" w:rsidRDefault="00B6166B" w:rsidP="00B6166B">
      <w:pPr>
        <w:spacing w:after="0" w:line="240" w:lineRule="auto"/>
        <w:jc w:val="both"/>
        <w:rPr>
          <w:rFonts w:ascii="Arial" w:eastAsia="Arial" w:hAnsi="Arial" w:cs="Arial"/>
        </w:rPr>
      </w:pPr>
      <w:bookmarkStart w:id="1" w:name="_gjdgxs" w:colFirst="0" w:colLast="0"/>
      <w:bookmarkEnd w:id="1"/>
      <w:r w:rsidRPr="00401C54">
        <w:rPr>
          <w:rFonts w:ascii="Arial" w:eastAsia="Arial" w:hAnsi="Arial" w:cs="Arial"/>
        </w:rPr>
        <w:t xml:space="preserve">Dentro de los países de Suramérica Colombia destaca con los peajes más costosos, junto a Uruguay y Perú. Según el Observatorio de Logística, Movilidad y territorio  </w:t>
      </w:r>
      <w:r w:rsidRPr="00401C54">
        <w:rPr>
          <w:rFonts w:ascii="Arial" w:eastAsia="Helvetica Neue" w:hAnsi="Arial" w:cs="Arial"/>
          <w:color w:val="6E6E6E"/>
          <w:shd w:val="clear" w:color="auto" w:fill="FEFEFE"/>
        </w:rPr>
        <w:t xml:space="preserve"> </w:t>
      </w:r>
      <w:r w:rsidRPr="00401C54">
        <w:rPr>
          <w:rFonts w:ascii="Arial" w:eastAsia="Arial" w:hAnsi="Arial" w:cs="Arial"/>
        </w:rPr>
        <w:t xml:space="preserve">“el precio es </w:t>
      </w:r>
      <w:r w:rsidRPr="00401C54">
        <w:rPr>
          <w:rFonts w:ascii="Arial" w:eastAsia="Arial" w:hAnsi="Arial" w:cs="Arial"/>
        </w:rPr>
        <w:lastRenderedPageBreak/>
        <w:t xml:space="preserve">determinado por el modelo de concesión en Colombia, es decir, los trayectos concesionados a los privados, y ellos en su negocio tienen que tener un retorno con la construcción de las vías. Por ello, cobran las sumas establecidas en estos momentos” La suma de elementos en todo caso se traduce en costos elevados que impactan de manera grave sobre las economías locales, y plantea una paradoja según la cual el desarrollo de infraestructura para la competitividad afecta la competitividad de los productores locales, sacrificando desarrollo social y empresarial por desarrollo de infraestructura, una comparación con los países del hemisferio pone de manifiesto los elevados costos de transitar por Colombia. </w:t>
      </w:r>
    </w:p>
    <w:p w:rsidR="00B6166B" w:rsidRPr="00401C54" w:rsidRDefault="00B6166B" w:rsidP="00B6166B">
      <w:pPr>
        <w:spacing w:after="0" w:line="240" w:lineRule="auto"/>
        <w:jc w:val="both"/>
        <w:rPr>
          <w:rFonts w:ascii="Arial" w:eastAsia="Arial" w:hAnsi="Arial" w:cs="Arial"/>
        </w:rPr>
      </w:pPr>
      <w:r w:rsidRPr="00401C54">
        <w:rPr>
          <w:rFonts w:ascii="Arial" w:eastAsia="Arial" w:hAnsi="Arial" w:cs="Arial"/>
          <w:noProof/>
          <w:lang w:val="es-ES" w:eastAsia="es-ES"/>
        </w:rPr>
        <w:drawing>
          <wp:inline distT="0" distB="0" distL="0" distR="0" wp14:anchorId="29E210F0" wp14:editId="60B0A020">
            <wp:extent cx="4838700" cy="2524125"/>
            <wp:effectExtent l="0" t="0" r="0" b="0"/>
            <wp:docPr id="7" name="image1.jpg" descr="C:\Users\santiago.salinas\Downloads\WhatsApp Image 2018-12-06 at 11.14.50 AM.jpeg"/>
            <wp:cNvGraphicFramePr/>
            <a:graphic xmlns:a="http://schemas.openxmlformats.org/drawingml/2006/main">
              <a:graphicData uri="http://schemas.openxmlformats.org/drawingml/2006/picture">
                <pic:pic xmlns:pic="http://schemas.openxmlformats.org/drawingml/2006/picture">
                  <pic:nvPicPr>
                    <pic:cNvPr id="0" name="image1.jpg" descr="C:\Users\santiago.salinas\Downloads\WhatsApp Image 2018-12-06 at 11.14.50 AM.jpeg"/>
                    <pic:cNvPicPr preferRelativeResize="0"/>
                  </pic:nvPicPr>
                  <pic:blipFill>
                    <a:blip r:embed="rId9"/>
                    <a:srcRect/>
                    <a:stretch>
                      <a:fillRect/>
                    </a:stretch>
                  </pic:blipFill>
                  <pic:spPr>
                    <a:xfrm>
                      <a:off x="0" y="0"/>
                      <a:ext cx="4838700" cy="2524125"/>
                    </a:xfrm>
                    <a:prstGeom prst="rect">
                      <a:avLst/>
                    </a:prstGeom>
                    <a:ln/>
                  </pic:spPr>
                </pic:pic>
              </a:graphicData>
            </a:graphic>
          </wp:inline>
        </w:drawing>
      </w:r>
      <w:r w:rsidRPr="00401C54">
        <w:rPr>
          <w:rFonts w:ascii="Arial" w:eastAsia="Arial" w:hAnsi="Arial" w:cs="Arial"/>
          <w:vertAlign w:val="superscript"/>
        </w:rPr>
        <w:footnoteReference w:id="5"/>
      </w:r>
    </w:p>
    <w:p w:rsidR="00B6166B" w:rsidRPr="00401C54" w:rsidRDefault="00B6166B" w:rsidP="00B6166B">
      <w:pPr>
        <w:spacing w:before="280" w:after="280" w:line="360" w:lineRule="auto"/>
        <w:jc w:val="both"/>
        <w:rPr>
          <w:rFonts w:ascii="Arial" w:eastAsia="Arial" w:hAnsi="Arial" w:cs="Arial"/>
        </w:rPr>
      </w:pPr>
      <w:r w:rsidRPr="00401C54">
        <w:rPr>
          <w:rFonts w:ascii="Arial" w:eastAsia="Arial" w:hAnsi="Arial" w:cs="Arial"/>
        </w:rPr>
        <w:t xml:space="preserve">El costo de un peaje en Colombia presenta poca dispersión. Su valor depende prioritariamente de la categoría del vehículo, y no considera ningún factor de equidad. Aunado al marco normativo frágil y variable constituye un gran reto para la planeación y el desarrollo empresarial, social, y el desarrollo vial, en esta medida encontramos pertinente plantear al Honorable Congreso De La Republica el Presente Proyecto De Ley. </w:t>
      </w:r>
    </w:p>
    <w:p w:rsidR="00383616" w:rsidRPr="00401C54" w:rsidRDefault="00383616" w:rsidP="00B6166B">
      <w:pPr>
        <w:spacing w:before="280" w:after="280" w:line="360" w:lineRule="auto"/>
        <w:jc w:val="both"/>
        <w:rPr>
          <w:rFonts w:ascii="Arial" w:eastAsia="Arial" w:hAnsi="Arial" w:cs="Arial"/>
        </w:rPr>
      </w:pPr>
    </w:p>
    <w:p w:rsidR="00B6166B" w:rsidRPr="00401C54" w:rsidRDefault="00B6166B" w:rsidP="00B6166B">
      <w:pPr>
        <w:spacing w:before="280" w:after="280" w:line="360" w:lineRule="auto"/>
        <w:jc w:val="both"/>
        <w:rPr>
          <w:rFonts w:ascii="Arial" w:eastAsia="Arial" w:hAnsi="Arial" w:cs="Arial"/>
        </w:rPr>
      </w:pPr>
      <w:r w:rsidRPr="00401C54">
        <w:rPr>
          <w:rFonts w:ascii="Arial" w:eastAsia="Arial" w:hAnsi="Arial" w:cs="Arial"/>
        </w:rPr>
        <w:t>Cordialmente,</w:t>
      </w:r>
    </w:p>
    <w:p w:rsidR="00C5482E" w:rsidRPr="00401C54" w:rsidRDefault="00C5482E" w:rsidP="00C5482E">
      <w:pPr>
        <w:spacing w:line="360" w:lineRule="auto"/>
        <w:jc w:val="both"/>
        <w:rPr>
          <w:rFonts w:ascii="Arial" w:eastAsia="Arial" w:hAnsi="Arial" w:cs="Arial"/>
        </w:rPr>
      </w:pPr>
    </w:p>
    <w:p w:rsidR="00195767" w:rsidRPr="00401C54" w:rsidRDefault="00195767" w:rsidP="00195767">
      <w:pPr>
        <w:spacing w:after="0"/>
        <w:rPr>
          <w:rFonts w:ascii="Arial" w:eastAsiaTheme="minorHAnsi" w:hAnsi="Arial" w:cs="Arial"/>
          <w:b/>
          <w:color w:val="000000"/>
          <w:lang w:eastAsia="en-US"/>
        </w:rPr>
      </w:pPr>
      <w:r w:rsidRPr="00401C54">
        <w:rPr>
          <w:rFonts w:ascii="Arial" w:eastAsiaTheme="minorHAnsi" w:hAnsi="Arial" w:cs="Arial"/>
          <w:b/>
          <w:color w:val="000000"/>
          <w:lang w:eastAsia="en-US"/>
        </w:rPr>
        <w:t>FABIÁN DÍAZ PLATA</w:t>
      </w:r>
    </w:p>
    <w:p w:rsidR="00195767" w:rsidRPr="00401C54" w:rsidRDefault="00195767" w:rsidP="00195767">
      <w:pPr>
        <w:spacing w:after="0"/>
        <w:rPr>
          <w:rFonts w:ascii="Arial" w:eastAsiaTheme="minorHAnsi" w:hAnsi="Arial" w:cs="Arial"/>
          <w:color w:val="000000"/>
          <w:lang w:eastAsia="en-US"/>
        </w:rPr>
      </w:pPr>
      <w:r w:rsidRPr="00401C54">
        <w:rPr>
          <w:rFonts w:ascii="Arial" w:eastAsiaTheme="minorHAnsi" w:hAnsi="Arial" w:cs="Arial"/>
          <w:color w:val="000000"/>
          <w:lang w:eastAsia="en-US"/>
        </w:rPr>
        <w:t>Representante a la Cámara</w:t>
      </w:r>
    </w:p>
    <w:p w:rsidR="00195767" w:rsidRPr="00401C54" w:rsidRDefault="00195767" w:rsidP="00195767">
      <w:pPr>
        <w:spacing w:line="360" w:lineRule="auto"/>
        <w:jc w:val="both"/>
        <w:rPr>
          <w:rFonts w:ascii="Arial" w:eastAsia="Arial" w:hAnsi="Arial" w:cs="Arial"/>
        </w:rPr>
      </w:pPr>
      <w:r w:rsidRPr="00401C54">
        <w:rPr>
          <w:rFonts w:ascii="Arial" w:eastAsiaTheme="minorHAnsi" w:hAnsi="Arial" w:cs="Arial"/>
          <w:color w:val="000000"/>
          <w:lang w:eastAsia="en-US"/>
        </w:rPr>
        <w:t>Departamento de Santander</w:t>
      </w:r>
    </w:p>
    <w:sectPr w:rsidR="00195767" w:rsidRPr="00401C54" w:rsidSect="009E1940">
      <w:headerReference w:type="default" r:id="rId10"/>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6D1F" w:rsidRDefault="009C6D1F" w:rsidP="00307E2E">
      <w:pPr>
        <w:spacing w:after="0" w:line="240" w:lineRule="auto"/>
      </w:pPr>
      <w:r>
        <w:separator/>
      </w:r>
    </w:p>
  </w:endnote>
  <w:endnote w:type="continuationSeparator" w:id="0">
    <w:p w:rsidR="009C6D1F" w:rsidRDefault="009C6D1F"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Neue">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6D1F" w:rsidRDefault="009C6D1F" w:rsidP="00307E2E">
      <w:pPr>
        <w:spacing w:after="0" w:line="240" w:lineRule="auto"/>
      </w:pPr>
      <w:r>
        <w:separator/>
      </w:r>
    </w:p>
  </w:footnote>
  <w:footnote w:type="continuationSeparator" w:id="0">
    <w:p w:rsidR="009C6D1F" w:rsidRDefault="009C6D1F" w:rsidP="00307E2E">
      <w:pPr>
        <w:spacing w:after="0" w:line="240" w:lineRule="auto"/>
      </w:pPr>
      <w:r>
        <w:continuationSeparator/>
      </w:r>
    </w:p>
  </w:footnote>
  <w:footnote w:id="1">
    <w:p w:rsidR="00B6166B" w:rsidRDefault="00B6166B" w:rsidP="00B6166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YEPES, Tito. Indicadores del sector transporte en Colombia - Informe consolidado. </w:t>
      </w:r>
      <w:proofErr w:type="spellStart"/>
      <w:r>
        <w:rPr>
          <w:color w:val="000000"/>
          <w:sz w:val="20"/>
          <w:szCs w:val="20"/>
        </w:rPr>
        <w:t>Fedesarrollo</w:t>
      </w:r>
      <w:proofErr w:type="spellEnd"/>
      <w:r>
        <w:rPr>
          <w:color w:val="000000"/>
          <w:sz w:val="20"/>
          <w:szCs w:val="20"/>
        </w:rPr>
        <w:t>. 2013. 5</w:t>
      </w:r>
    </w:p>
    <w:p w:rsidR="00B6166B" w:rsidRDefault="00B6166B" w:rsidP="00B6166B">
      <w:pPr>
        <w:pBdr>
          <w:top w:val="nil"/>
          <w:left w:val="nil"/>
          <w:bottom w:val="nil"/>
          <w:right w:val="nil"/>
          <w:between w:val="nil"/>
        </w:pBdr>
        <w:spacing w:after="0" w:line="240" w:lineRule="auto"/>
        <w:rPr>
          <w:color w:val="000000"/>
          <w:sz w:val="20"/>
          <w:szCs w:val="20"/>
        </w:rPr>
      </w:pPr>
      <w:proofErr w:type="spellStart"/>
      <w:r>
        <w:rPr>
          <w:color w:val="000000"/>
          <w:sz w:val="20"/>
          <w:szCs w:val="20"/>
        </w:rPr>
        <w:t>Llewellyng</w:t>
      </w:r>
      <w:proofErr w:type="spellEnd"/>
      <w:r>
        <w:rPr>
          <w:color w:val="000000"/>
          <w:sz w:val="20"/>
          <w:szCs w:val="20"/>
        </w:rPr>
        <w:t xml:space="preserve"> </w:t>
      </w:r>
      <w:proofErr w:type="spellStart"/>
      <w:r>
        <w:rPr>
          <w:color w:val="000000"/>
          <w:sz w:val="20"/>
          <w:szCs w:val="20"/>
        </w:rPr>
        <w:t>Consulting</w:t>
      </w:r>
      <w:proofErr w:type="spellEnd"/>
      <w:r>
        <w:rPr>
          <w:color w:val="000000"/>
          <w:sz w:val="20"/>
          <w:szCs w:val="20"/>
        </w:rPr>
        <w:t xml:space="preserve"> (2014)</w:t>
      </w:r>
    </w:p>
  </w:footnote>
  <w:footnote w:id="2">
    <w:p w:rsidR="00B6166B" w:rsidRDefault="00B6166B" w:rsidP="00B6166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Premier of </w:t>
      </w:r>
      <w:proofErr w:type="spellStart"/>
      <w:r>
        <w:rPr>
          <w:color w:val="000000"/>
          <w:sz w:val="20"/>
          <w:szCs w:val="20"/>
        </w:rPr>
        <w:t>the</w:t>
      </w:r>
      <w:proofErr w:type="spellEnd"/>
      <w:r>
        <w:rPr>
          <w:color w:val="000000"/>
          <w:sz w:val="20"/>
          <w:szCs w:val="20"/>
        </w:rPr>
        <w:t xml:space="preserve"> </w:t>
      </w:r>
      <w:proofErr w:type="spellStart"/>
      <w:r>
        <w:rPr>
          <w:color w:val="000000"/>
          <w:sz w:val="20"/>
          <w:szCs w:val="20"/>
        </w:rPr>
        <w:t>State</w:t>
      </w:r>
      <w:proofErr w:type="spellEnd"/>
      <w:r>
        <w:rPr>
          <w:color w:val="000000"/>
          <w:sz w:val="20"/>
          <w:szCs w:val="20"/>
        </w:rPr>
        <w:t xml:space="preserve"> Council </w:t>
      </w:r>
      <w:proofErr w:type="spellStart"/>
      <w:r>
        <w:rPr>
          <w:color w:val="000000"/>
          <w:sz w:val="20"/>
          <w:szCs w:val="20"/>
        </w:rPr>
        <w:t>Wen</w:t>
      </w:r>
      <w:proofErr w:type="spellEnd"/>
      <w:r>
        <w:rPr>
          <w:color w:val="000000"/>
          <w:sz w:val="20"/>
          <w:szCs w:val="20"/>
        </w:rPr>
        <w:t xml:space="preserve"> </w:t>
      </w:r>
      <w:proofErr w:type="spellStart"/>
      <w:r>
        <w:rPr>
          <w:color w:val="000000"/>
          <w:sz w:val="20"/>
          <w:szCs w:val="20"/>
        </w:rPr>
        <w:t>Jiabao</w:t>
      </w:r>
      <w:proofErr w:type="spellEnd"/>
      <w:r>
        <w:rPr>
          <w:color w:val="000000"/>
          <w:sz w:val="20"/>
          <w:szCs w:val="20"/>
        </w:rPr>
        <w:t xml:space="preserve">, </w:t>
      </w:r>
      <w:proofErr w:type="spellStart"/>
      <w:r>
        <w:rPr>
          <w:color w:val="000000"/>
          <w:sz w:val="20"/>
          <w:szCs w:val="20"/>
        </w:rPr>
        <w:t>September</w:t>
      </w:r>
      <w:proofErr w:type="spellEnd"/>
      <w:r>
        <w:rPr>
          <w:color w:val="000000"/>
          <w:sz w:val="20"/>
          <w:szCs w:val="20"/>
        </w:rPr>
        <w:t xml:space="preserve"> 13, 2004 </w:t>
      </w:r>
      <w:proofErr w:type="spellStart"/>
      <w:r>
        <w:rPr>
          <w:color w:val="000000"/>
          <w:sz w:val="20"/>
          <w:szCs w:val="20"/>
        </w:rPr>
        <w:t>Regulation</w:t>
      </w:r>
      <w:proofErr w:type="spellEnd"/>
      <w:r>
        <w:rPr>
          <w:color w:val="000000"/>
          <w:sz w:val="20"/>
          <w:szCs w:val="20"/>
        </w:rPr>
        <w:t xml:space="preserve"> </w:t>
      </w:r>
      <w:proofErr w:type="spellStart"/>
      <w:r>
        <w:rPr>
          <w:color w:val="000000"/>
          <w:sz w:val="20"/>
          <w:szCs w:val="20"/>
        </w:rPr>
        <w:t>on</w:t>
      </w:r>
      <w:proofErr w:type="spellEnd"/>
      <w:r>
        <w:rPr>
          <w:color w:val="000000"/>
          <w:sz w:val="20"/>
          <w:szCs w:val="20"/>
        </w:rPr>
        <w:t xml:space="preserve"> </w:t>
      </w:r>
      <w:proofErr w:type="spellStart"/>
      <w:r>
        <w:rPr>
          <w:color w:val="000000"/>
          <w:sz w:val="20"/>
          <w:szCs w:val="20"/>
        </w:rPr>
        <w:t>the</w:t>
      </w:r>
      <w:proofErr w:type="spellEnd"/>
      <w:r>
        <w:rPr>
          <w:color w:val="000000"/>
          <w:sz w:val="20"/>
          <w:szCs w:val="20"/>
        </w:rPr>
        <w:t xml:space="preserve"> </w:t>
      </w:r>
      <w:proofErr w:type="spellStart"/>
      <w:r>
        <w:rPr>
          <w:color w:val="000000"/>
          <w:sz w:val="20"/>
          <w:szCs w:val="20"/>
        </w:rPr>
        <w:t>Administration</w:t>
      </w:r>
      <w:proofErr w:type="spellEnd"/>
      <w:r>
        <w:rPr>
          <w:color w:val="000000"/>
          <w:sz w:val="20"/>
          <w:szCs w:val="20"/>
        </w:rPr>
        <w:t xml:space="preserve"> of </w:t>
      </w:r>
      <w:proofErr w:type="spellStart"/>
      <w:r>
        <w:rPr>
          <w:color w:val="000000"/>
          <w:sz w:val="20"/>
          <w:szCs w:val="20"/>
        </w:rPr>
        <w:t>Toll</w:t>
      </w:r>
      <w:proofErr w:type="spellEnd"/>
      <w:r>
        <w:rPr>
          <w:color w:val="000000"/>
          <w:sz w:val="20"/>
          <w:szCs w:val="20"/>
        </w:rPr>
        <w:t xml:space="preserve"> </w:t>
      </w:r>
      <w:proofErr w:type="spellStart"/>
      <w:r>
        <w:rPr>
          <w:color w:val="000000"/>
          <w:sz w:val="20"/>
          <w:szCs w:val="20"/>
        </w:rPr>
        <w:t>Roads</w:t>
      </w:r>
      <w:proofErr w:type="spellEnd"/>
      <w:r>
        <w:rPr>
          <w:color w:val="000000"/>
          <w:sz w:val="20"/>
          <w:szCs w:val="20"/>
        </w:rPr>
        <w:t xml:space="preserve"> </w:t>
      </w:r>
    </w:p>
    <w:p w:rsidR="00B6166B" w:rsidRDefault="00B6166B" w:rsidP="00B6166B">
      <w:pPr>
        <w:pBdr>
          <w:top w:val="nil"/>
          <w:left w:val="nil"/>
          <w:bottom w:val="nil"/>
          <w:right w:val="nil"/>
          <w:between w:val="nil"/>
        </w:pBdr>
        <w:spacing w:after="0" w:line="240" w:lineRule="auto"/>
        <w:rPr>
          <w:color w:val="000000"/>
          <w:sz w:val="20"/>
          <w:szCs w:val="20"/>
        </w:rPr>
      </w:pPr>
    </w:p>
  </w:footnote>
  <w:footnote w:id="3">
    <w:p w:rsidR="00B6166B" w:rsidRDefault="00B6166B" w:rsidP="00B6166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roofErr w:type="spellStart"/>
      <w:r>
        <w:rPr>
          <w:color w:val="000000"/>
          <w:sz w:val="20"/>
          <w:szCs w:val="20"/>
        </w:rPr>
        <w:t>Regulation</w:t>
      </w:r>
      <w:proofErr w:type="spellEnd"/>
      <w:r>
        <w:rPr>
          <w:color w:val="000000"/>
          <w:sz w:val="20"/>
          <w:szCs w:val="20"/>
        </w:rPr>
        <w:t xml:space="preserve"> </w:t>
      </w:r>
      <w:proofErr w:type="spellStart"/>
      <w:r>
        <w:rPr>
          <w:color w:val="000000"/>
          <w:sz w:val="20"/>
          <w:szCs w:val="20"/>
        </w:rPr>
        <w:t>respecting</w:t>
      </w:r>
      <w:proofErr w:type="spellEnd"/>
      <w:r>
        <w:rPr>
          <w:color w:val="000000"/>
          <w:sz w:val="20"/>
          <w:szCs w:val="20"/>
        </w:rPr>
        <w:t xml:space="preserve"> </w:t>
      </w:r>
      <w:proofErr w:type="spellStart"/>
      <w:r>
        <w:rPr>
          <w:color w:val="000000"/>
          <w:sz w:val="20"/>
          <w:szCs w:val="20"/>
        </w:rPr>
        <w:t>toll</w:t>
      </w:r>
      <w:proofErr w:type="spellEnd"/>
      <w:r>
        <w:rPr>
          <w:color w:val="000000"/>
          <w:sz w:val="20"/>
          <w:szCs w:val="20"/>
        </w:rPr>
        <w:t xml:space="preserve"> </w:t>
      </w:r>
      <w:proofErr w:type="spellStart"/>
      <w:r>
        <w:rPr>
          <w:color w:val="000000"/>
          <w:sz w:val="20"/>
          <w:szCs w:val="20"/>
        </w:rPr>
        <w:t>road</w:t>
      </w:r>
      <w:proofErr w:type="spellEnd"/>
      <w:r>
        <w:rPr>
          <w:color w:val="000000"/>
          <w:sz w:val="20"/>
          <w:szCs w:val="20"/>
        </w:rPr>
        <w:t xml:space="preserve"> </w:t>
      </w:r>
      <w:proofErr w:type="spellStart"/>
      <w:r>
        <w:rPr>
          <w:color w:val="000000"/>
          <w:sz w:val="20"/>
          <w:szCs w:val="20"/>
        </w:rPr>
        <w:t>infrastructures</w:t>
      </w:r>
      <w:proofErr w:type="spellEnd"/>
      <w:r>
        <w:rPr>
          <w:color w:val="000000"/>
          <w:sz w:val="20"/>
          <w:szCs w:val="20"/>
        </w:rPr>
        <w:t xml:space="preserve"> </w:t>
      </w:r>
      <w:proofErr w:type="spellStart"/>
      <w:r>
        <w:rPr>
          <w:color w:val="000000"/>
          <w:sz w:val="20"/>
          <w:szCs w:val="20"/>
        </w:rPr>
        <w:t>operated</w:t>
      </w:r>
      <w:proofErr w:type="spellEnd"/>
      <w:r>
        <w:rPr>
          <w:color w:val="000000"/>
          <w:sz w:val="20"/>
          <w:szCs w:val="20"/>
        </w:rPr>
        <w:t xml:space="preserve"> </w:t>
      </w:r>
      <w:proofErr w:type="spellStart"/>
      <w:r>
        <w:rPr>
          <w:color w:val="000000"/>
          <w:sz w:val="20"/>
          <w:szCs w:val="20"/>
        </w:rPr>
        <w:t>under</w:t>
      </w:r>
      <w:proofErr w:type="spellEnd"/>
      <w:r>
        <w:rPr>
          <w:color w:val="000000"/>
          <w:sz w:val="20"/>
          <w:szCs w:val="20"/>
        </w:rPr>
        <w:t xml:space="preserve"> a </w:t>
      </w:r>
      <w:proofErr w:type="spellStart"/>
      <w:r>
        <w:rPr>
          <w:color w:val="000000"/>
          <w:sz w:val="20"/>
          <w:szCs w:val="20"/>
        </w:rPr>
        <w:t>public-private</w:t>
      </w:r>
      <w:proofErr w:type="spellEnd"/>
      <w:r>
        <w:rPr>
          <w:color w:val="000000"/>
          <w:sz w:val="20"/>
          <w:szCs w:val="20"/>
        </w:rPr>
        <w:t xml:space="preserve"> </w:t>
      </w:r>
      <w:proofErr w:type="spellStart"/>
      <w:r>
        <w:rPr>
          <w:color w:val="000000"/>
          <w:sz w:val="20"/>
          <w:szCs w:val="20"/>
        </w:rPr>
        <w:t>partnership</w:t>
      </w:r>
      <w:proofErr w:type="spellEnd"/>
      <w:r>
        <w:rPr>
          <w:color w:val="000000"/>
          <w:sz w:val="20"/>
          <w:szCs w:val="20"/>
        </w:rPr>
        <w:t xml:space="preserve"> </w:t>
      </w:r>
      <w:proofErr w:type="spellStart"/>
      <w:r>
        <w:rPr>
          <w:color w:val="000000"/>
          <w:sz w:val="20"/>
          <w:szCs w:val="20"/>
        </w:rPr>
        <w:t>agreement</w:t>
      </w:r>
      <w:proofErr w:type="spellEnd"/>
      <w:r>
        <w:rPr>
          <w:color w:val="000000"/>
          <w:sz w:val="20"/>
          <w:szCs w:val="20"/>
        </w:rPr>
        <w:t xml:space="preserve">, </w:t>
      </w:r>
      <w:proofErr w:type="spellStart"/>
      <w:r>
        <w:rPr>
          <w:color w:val="000000"/>
          <w:sz w:val="20"/>
          <w:szCs w:val="20"/>
        </w:rPr>
        <w:t>Act</w:t>
      </w:r>
      <w:proofErr w:type="spellEnd"/>
      <w:r>
        <w:rPr>
          <w:color w:val="000000"/>
          <w:sz w:val="20"/>
          <w:szCs w:val="20"/>
        </w:rPr>
        <w:t xml:space="preserve"> </w:t>
      </w:r>
      <w:proofErr w:type="spellStart"/>
      <w:r>
        <w:rPr>
          <w:color w:val="000000"/>
          <w:sz w:val="20"/>
          <w:szCs w:val="20"/>
        </w:rPr>
        <w:t>respecting</w:t>
      </w:r>
      <w:proofErr w:type="spellEnd"/>
      <w:r>
        <w:rPr>
          <w:color w:val="000000"/>
          <w:sz w:val="20"/>
          <w:szCs w:val="20"/>
        </w:rPr>
        <w:t xml:space="preserve"> </w:t>
      </w:r>
      <w:proofErr w:type="spellStart"/>
      <w:r>
        <w:rPr>
          <w:color w:val="000000"/>
          <w:sz w:val="20"/>
          <w:szCs w:val="20"/>
        </w:rPr>
        <w:t>transport</w:t>
      </w:r>
      <w:proofErr w:type="spellEnd"/>
      <w:r>
        <w:rPr>
          <w:color w:val="000000"/>
          <w:sz w:val="20"/>
          <w:szCs w:val="20"/>
        </w:rPr>
        <w:t xml:space="preserve"> </w:t>
      </w:r>
      <w:proofErr w:type="spellStart"/>
      <w:r>
        <w:rPr>
          <w:color w:val="000000"/>
          <w:sz w:val="20"/>
          <w:szCs w:val="20"/>
        </w:rPr>
        <w:t>infrastructure</w:t>
      </w:r>
      <w:proofErr w:type="spellEnd"/>
      <w:r>
        <w:rPr>
          <w:color w:val="000000"/>
          <w:sz w:val="20"/>
          <w:szCs w:val="20"/>
        </w:rPr>
        <w:t xml:space="preserve"> </w:t>
      </w:r>
      <w:proofErr w:type="spellStart"/>
      <w:r>
        <w:rPr>
          <w:color w:val="000000"/>
          <w:sz w:val="20"/>
          <w:szCs w:val="20"/>
        </w:rPr>
        <w:t>partnerships</w:t>
      </w:r>
      <w:proofErr w:type="spellEnd"/>
    </w:p>
  </w:footnote>
  <w:footnote w:id="4">
    <w:p w:rsidR="00B6166B" w:rsidRDefault="00B6166B" w:rsidP="00B6166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
    <w:p w:rsidR="00B6166B" w:rsidRDefault="00B6166B" w:rsidP="00B6166B">
      <w:pPr>
        <w:pBdr>
          <w:top w:val="nil"/>
          <w:left w:val="nil"/>
          <w:bottom w:val="nil"/>
          <w:right w:val="nil"/>
          <w:between w:val="nil"/>
        </w:pBdr>
        <w:spacing w:after="0" w:line="240" w:lineRule="auto"/>
        <w:rPr>
          <w:color w:val="000000"/>
          <w:sz w:val="20"/>
          <w:szCs w:val="20"/>
        </w:rPr>
      </w:pPr>
    </w:p>
    <w:p w:rsidR="00B6166B" w:rsidRDefault="00B6166B" w:rsidP="00B6166B">
      <w:pPr>
        <w:pBdr>
          <w:top w:val="nil"/>
          <w:left w:val="nil"/>
          <w:bottom w:val="nil"/>
          <w:right w:val="nil"/>
          <w:between w:val="nil"/>
        </w:pBdr>
        <w:spacing w:after="0" w:line="240" w:lineRule="auto"/>
        <w:rPr>
          <w:b/>
          <w:color w:val="000000"/>
          <w:sz w:val="20"/>
          <w:szCs w:val="20"/>
        </w:rPr>
      </w:pPr>
      <w:r>
        <w:rPr>
          <w:color w:val="000000"/>
          <w:sz w:val="20"/>
          <w:szCs w:val="20"/>
        </w:rPr>
        <w:t xml:space="preserve"> </w:t>
      </w:r>
      <w:r>
        <w:rPr>
          <w:b/>
          <w:color w:val="000000"/>
          <w:sz w:val="20"/>
          <w:szCs w:val="20"/>
        </w:rPr>
        <w:t xml:space="preserve">TOLLING REGULATIONS FOR THE MOTORWAYS AND EXPRESSWAYS OF AUSTRIA  </w:t>
      </w:r>
      <w:proofErr w:type="spellStart"/>
      <w:r>
        <w:rPr>
          <w:b/>
          <w:color w:val="000000"/>
          <w:sz w:val="20"/>
          <w:szCs w:val="20"/>
        </w:rPr>
        <w:t>Valid</w:t>
      </w:r>
      <w:proofErr w:type="spellEnd"/>
      <w:r>
        <w:rPr>
          <w:b/>
          <w:color w:val="000000"/>
          <w:sz w:val="20"/>
          <w:szCs w:val="20"/>
        </w:rPr>
        <w:t xml:space="preserve"> </w:t>
      </w:r>
      <w:proofErr w:type="spellStart"/>
      <w:r>
        <w:rPr>
          <w:b/>
          <w:color w:val="000000"/>
          <w:sz w:val="20"/>
          <w:szCs w:val="20"/>
        </w:rPr>
        <w:t>from</w:t>
      </w:r>
      <w:proofErr w:type="spellEnd"/>
      <w:r>
        <w:rPr>
          <w:b/>
          <w:color w:val="000000"/>
          <w:sz w:val="20"/>
          <w:szCs w:val="20"/>
        </w:rPr>
        <w:t xml:space="preserve"> </w:t>
      </w:r>
      <w:proofErr w:type="spellStart"/>
      <w:r>
        <w:rPr>
          <w:b/>
          <w:color w:val="000000"/>
          <w:sz w:val="20"/>
          <w:szCs w:val="20"/>
        </w:rPr>
        <w:t>November</w:t>
      </w:r>
      <w:proofErr w:type="spellEnd"/>
      <w:r>
        <w:rPr>
          <w:b/>
          <w:color w:val="000000"/>
          <w:sz w:val="20"/>
          <w:szCs w:val="20"/>
        </w:rPr>
        <w:t xml:space="preserve"> 08</w:t>
      </w:r>
      <w:r>
        <w:rPr>
          <w:b/>
          <w:color w:val="000000"/>
          <w:sz w:val="20"/>
          <w:szCs w:val="20"/>
          <w:vertAlign w:val="superscript"/>
        </w:rPr>
        <w:t>th</w:t>
      </w:r>
      <w:r>
        <w:rPr>
          <w:b/>
          <w:color w:val="000000"/>
          <w:sz w:val="20"/>
          <w:szCs w:val="20"/>
        </w:rPr>
        <w:t xml:space="preserve">, 2018 </w:t>
      </w:r>
      <w:proofErr w:type="spellStart"/>
      <w:r>
        <w:rPr>
          <w:b/>
          <w:color w:val="000000"/>
          <w:sz w:val="20"/>
          <w:szCs w:val="20"/>
        </w:rPr>
        <w:t>Version</w:t>
      </w:r>
      <w:proofErr w:type="spellEnd"/>
      <w:r>
        <w:rPr>
          <w:b/>
          <w:color w:val="000000"/>
          <w:sz w:val="20"/>
          <w:szCs w:val="20"/>
        </w:rPr>
        <w:t xml:space="preserve"> 53</w:t>
      </w:r>
    </w:p>
  </w:footnote>
  <w:footnote w:id="5">
    <w:p w:rsidR="00B6166B" w:rsidRDefault="00B6166B" w:rsidP="00B6166B">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BOLETIN 02286, ANDI, Gerencia de logística transporte e infraestructura, enero 21 a febrero 09 de 2018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6"/>
  </w:num>
  <w:num w:numId="3">
    <w:abstractNumId w:val="2"/>
  </w:num>
  <w:num w:numId="4">
    <w:abstractNumId w:val="1"/>
  </w:num>
  <w:num w:numId="5">
    <w:abstractNumId w:val="12"/>
  </w:num>
  <w:num w:numId="6">
    <w:abstractNumId w:val="14"/>
  </w:num>
  <w:num w:numId="7">
    <w:abstractNumId w:val="13"/>
  </w:num>
  <w:num w:numId="8">
    <w:abstractNumId w:val="11"/>
  </w:num>
  <w:num w:numId="9">
    <w:abstractNumId w:val="6"/>
  </w:num>
  <w:num w:numId="10">
    <w:abstractNumId w:val="0"/>
  </w:num>
  <w:num w:numId="11">
    <w:abstractNumId w:val="8"/>
  </w:num>
  <w:num w:numId="12">
    <w:abstractNumId w:val="9"/>
  </w:num>
  <w:num w:numId="13">
    <w:abstractNumId w:val="17"/>
  </w:num>
  <w:num w:numId="14">
    <w:abstractNumId w:val="4"/>
  </w:num>
  <w:num w:numId="15">
    <w:abstractNumId w:val="15"/>
  </w:num>
  <w:num w:numId="16">
    <w:abstractNumId w:val="5"/>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3C99"/>
    <w:rsid w:val="002068B5"/>
    <w:rsid w:val="00222FBF"/>
    <w:rsid w:val="002323EC"/>
    <w:rsid w:val="002438F6"/>
    <w:rsid w:val="002A0713"/>
    <w:rsid w:val="002A62E3"/>
    <w:rsid w:val="002D70CE"/>
    <w:rsid w:val="002D7C81"/>
    <w:rsid w:val="002E7E39"/>
    <w:rsid w:val="002F688E"/>
    <w:rsid w:val="002F7DE2"/>
    <w:rsid w:val="003049F4"/>
    <w:rsid w:val="00304E5F"/>
    <w:rsid w:val="0030677C"/>
    <w:rsid w:val="00307E2E"/>
    <w:rsid w:val="00330CA8"/>
    <w:rsid w:val="00336538"/>
    <w:rsid w:val="003436C2"/>
    <w:rsid w:val="0034638F"/>
    <w:rsid w:val="00347716"/>
    <w:rsid w:val="003479F1"/>
    <w:rsid w:val="00363D96"/>
    <w:rsid w:val="0037517E"/>
    <w:rsid w:val="00383616"/>
    <w:rsid w:val="003863FA"/>
    <w:rsid w:val="00386FEF"/>
    <w:rsid w:val="003A0089"/>
    <w:rsid w:val="003A5F9D"/>
    <w:rsid w:val="003B264A"/>
    <w:rsid w:val="003C7AC0"/>
    <w:rsid w:val="003D3AE5"/>
    <w:rsid w:val="003E3BEC"/>
    <w:rsid w:val="003F49D0"/>
    <w:rsid w:val="00401C54"/>
    <w:rsid w:val="004157F9"/>
    <w:rsid w:val="00420B03"/>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B557B"/>
    <w:rsid w:val="005E17D1"/>
    <w:rsid w:val="005E4379"/>
    <w:rsid w:val="005E60D1"/>
    <w:rsid w:val="00600521"/>
    <w:rsid w:val="006040E5"/>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55CE"/>
    <w:rsid w:val="00941DA6"/>
    <w:rsid w:val="009423CC"/>
    <w:rsid w:val="00942D96"/>
    <w:rsid w:val="00952848"/>
    <w:rsid w:val="00964F40"/>
    <w:rsid w:val="00975BA2"/>
    <w:rsid w:val="009C6D1F"/>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7AAF"/>
    <w:rsid w:val="00A46184"/>
    <w:rsid w:val="00A56795"/>
    <w:rsid w:val="00A64116"/>
    <w:rsid w:val="00A6549F"/>
    <w:rsid w:val="00A75510"/>
    <w:rsid w:val="00A76DFE"/>
    <w:rsid w:val="00A93611"/>
    <w:rsid w:val="00A968E4"/>
    <w:rsid w:val="00AA2F03"/>
    <w:rsid w:val="00AA7A93"/>
    <w:rsid w:val="00AB2E8B"/>
    <w:rsid w:val="00AD2D50"/>
    <w:rsid w:val="00AD36AB"/>
    <w:rsid w:val="00AE3224"/>
    <w:rsid w:val="00AE3B03"/>
    <w:rsid w:val="00B06795"/>
    <w:rsid w:val="00B10CD1"/>
    <w:rsid w:val="00B418E6"/>
    <w:rsid w:val="00B4219A"/>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E005C9"/>
    <w:rsid w:val="00E0380F"/>
    <w:rsid w:val="00E05F91"/>
    <w:rsid w:val="00E3050D"/>
    <w:rsid w:val="00E335AC"/>
    <w:rsid w:val="00E54290"/>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3685"/>
    <w:rsid w:val="00F531F6"/>
    <w:rsid w:val="00F53F47"/>
    <w:rsid w:val="00F770CB"/>
    <w:rsid w:val="00F90047"/>
    <w:rsid w:val="00F93B13"/>
    <w:rsid w:val="00F95F17"/>
    <w:rsid w:val="00FC3C1B"/>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482E"/>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14B3BA-2205-4329-90A4-97BAA9BCB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1397</Words>
  <Characters>7686</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12</cp:revision>
  <cp:lastPrinted>2019-02-25T21:22:00Z</cp:lastPrinted>
  <dcterms:created xsi:type="dcterms:W3CDTF">2019-07-18T18:49:00Z</dcterms:created>
  <dcterms:modified xsi:type="dcterms:W3CDTF">2019-07-18T23:21:00Z</dcterms:modified>
</cp:coreProperties>
</file>